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0E4" w:rsidRPr="00074A76" w:rsidRDefault="00CC5038" w:rsidP="00813056">
      <w:pPr>
        <w:spacing w:before="120" w:after="240" w:line="360" w:lineRule="auto"/>
        <w:jc w:val="center"/>
        <w:rPr>
          <w:rFonts w:ascii="Arial" w:hAnsi="Arial" w:cs="Arial"/>
          <w:b/>
          <w:szCs w:val="24"/>
          <w:lang w:val="en-US"/>
        </w:rPr>
      </w:pPr>
      <w:r w:rsidRPr="00074A76">
        <w:rPr>
          <w:rFonts w:ascii="Arial" w:hAnsi="Arial" w:cs="Arial"/>
          <w:b/>
          <w:szCs w:val="24"/>
          <w:lang w:val="en-US"/>
        </w:rPr>
        <w:t>Overview of international Covid19-related policy developments</w:t>
      </w:r>
    </w:p>
    <w:p w:rsidR="00074A76" w:rsidRPr="008C45FB" w:rsidRDefault="00074A76" w:rsidP="00726E7F">
      <w:pPr>
        <w:spacing w:after="120" w:line="240" w:lineRule="auto"/>
        <w:rPr>
          <w:rFonts w:ascii="Arial" w:hAnsi="Arial" w:cs="Arial"/>
          <w:szCs w:val="24"/>
        </w:rPr>
      </w:pPr>
      <w:r w:rsidRPr="008C45FB">
        <w:rPr>
          <w:rFonts w:ascii="Arial" w:hAnsi="Arial" w:cs="Arial"/>
          <w:szCs w:val="24"/>
        </w:rPr>
        <w:t xml:space="preserve">The following list is intended to provide key information on policy developments from domestic, international and supranational authorities in response to the Covid-19 pandemic. The information contained in this document is indicative and based on publicly available information as of </w:t>
      </w:r>
      <w:r w:rsidR="006A4D2B">
        <w:rPr>
          <w:rFonts w:ascii="Arial" w:hAnsi="Arial" w:cs="Arial"/>
          <w:szCs w:val="24"/>
        </w:rPr>
        <w:t>22</w:t>
      </w:r>
      <w:r w:rsidR="00F421C4">
        <w:rPr>
          <w:rFonts w:ascii="Arial" w:hAnsi="Arial" w:cs="Arial"/>
          <w:szCs w:val="24"/>
        </w:rPr>
        <w:t xml:space="preserve"> April 2020</w:t>
      </w:r>
      <w:r w:rsidRPr="008C45FB">
        <w:rPr>
          <w:rFonts w:ascii="Arial" w:hAnsi="Arial" w:cs="Arial"/>
          <w:szCs w:val="24"/>
        </w:rPr>
        <w:t>.</w:t>
      </w:r>
    </w:p>
    <w:p w:rsidR="000A18FE" w:rsidRDefault="000A18FE" w:rsidP="00726E7F">
      <w:pPr>
        <w:spacing w:before="120" w:after="120" w:line="360" w:lineRule="auto"/>
        <w:rPr>
          <w:rFonts w:ascii="Arial" w:hAnsi="Arial" w:cs="Arial"/>
          <w:b/>
          <w:szCs w:val="24"/>
        </w:rPr>
      </w:pPr>
      <w:r>
        <w:rPr>
          <w:rFonts w:ascii="Arial" w:hAnsi="Arial" w:cs="Arial"/>
          <w:b/>
          <w:szCs w:val="24"/>
        </w:rPr>
        <w:t>European Council / Council of Europe</w:t>
      </w:r>
    </w:p>
    <w:p w:rsidR="000A18FE" w:rsidRPr="000A18FE" w:rsidRDefault="000A18FE" w:rsidP="000A18FE">
      <w:pPr>
        <w:spacing w:after="120" w:line="240" w:lineRule="auto"/>
        <w:rPr>
          <w:rFonts w:ascii="Arial" w:hAnsi="Arial" w:cs="Arial"/>
          <w:szCs w:val="24"/>
        </w:rPr>
      </w:pPr>
      <w:r>
        <w:rPr>
          <w:rFonts w:ascii="Arial" w:hAnsi="Arial" w:cs="Arial"/>
          <w:szCs w:val="24"/>
        </w:rPr>
        <w:t xml:space="preserve">The EU (via the European Council and Council of Europe) announced </w:t>
      </w:r>
      <w:r w:rsidR="007464CF">
        <w:rPr>
          <w:rFonts w:ascii="Arial" w:hAnsi="Arial" w:cs="Arial"/>
          <w:szCs w:val="24"/>
        </w:rPr>
        <w:t xml:space="preserve">on 10 April 2020 that agreement </w:t>
      </w:r>
      <w:r>
        <w:rPr>
          <w:rFonts w:ascii="Arial" w:hAnsi="Arial" w:cs="Arial"/>
          <w:szCs w:val="24"/>
        </w:rPr>
        <w:t xml:space="preserve">had been reached on </w:t>
      </w:r>
      <w:hyperlink r:id="rId7" w:history="1">
        <w:r w:rsidRPr="000A18FE">
          <w:rPr>
            <w:rStyle w:val="Hyperlink"/>
            <w:rFonts w:ascii="Arial" w:hAnsi="Arial" w:cs="Arial"/>
            <w:szCs w:val="24"/>
          </w:rPr>
          <w:t>a package of eco</w:t>
        </w:r>
        <w:r w:rsidRPr="000A18FE">
          <w:rPr>
            <w:rStyle w:val="Hyperlink"/>
            <w:rFonts w:ascii="Arial" w:hAnsi="Arial" w:cs="Arial"/>
            <w:szCs w:val="24"/>
          </w:rPr>
          <w:t>n</w:t>
        </w:r>
        <w:r w:rsidRPr="000A18FE">
          <w:rPr>
            <w:rStyle w:val="Hyperlink"/>
            <w:rFonts w:ascii="Arial" w:hAnsi="Arial" w:cs="Arial"/>
            <w:szCs w:val="24"/>
          </w:rPr>
          <w:t>omic relief and support measures</w:t>
        </w:r>
      </w:hyperlink>
      <w:r>
        <w:rPr>
          <w:rFonts w:ascii="Arial" w:hAnsi="Arial" w:cs="Arial"/>
          <w:szCs w:val="24"/>
        </w:rPr>
        <w:t xml:space="preserve"> worth over </w:t>
      </w:r>
      <w:r w:rsidRPr="008E2ED1">
        <w:rPr>
          <w:rFonts w:ascii="Arial" w:hAnsi="Arial" w:cs="Arial"/>
          <w:szCs w:val="24"/>
        </w:rPr>
        <w:t>€</w:t>
      </w:r>
      <w:r>
        <w:rPr>
          <w:rFonts w:ascii="Arial" w:hAnsi="Arial" w:cs="Arial"/>
          <w:szCs w:val="24"/>
        </w:rPr>
        <w:t>500 billion available across the EU</w:t>
      </w:r>
      <w:r w:rsidR="007464CF">
        <w:rPr>
          <w:rFonts w:ascii="Arial" w:hAnsi="Arial" w:cs="Arial"/>
          <w:szCs w:val="24"/>
        </w:rPr>
        <w:t xml:space="preserve">. The package, which functions through the European Stability Mechanism (ESM), the European Investment Bank (EIB), and the newly established </w:t>
      </w:r>
      <w:proofErr w:type="spellStart"/>
      <w:r w:rsidR="007464CF">
        <w:rPr>
          <w:rFonts w:ascii="Arial" w:hAnsi="Arial" w:cs="Arial"/>
          <w:szCs w:val="24"/>
        </w:rPr>
        <w:t>Comission</w:t>
      </w:r>
      <w:proofErr w:type="spellEnd"/>
      <w:r w:rsidR="007464CF">
        <w:rPr>
          <w:rFonts w:ascii="Arial" w:hAnsi="Arial" w:cs="Arial"/>
          <w:szCs w:val="24"/>
        </w:rPr>
        <w:t>-led “</w:t>
      </w:r>
      <w:r w:rsidR="007464CF" w:rsidRPr="007464CF">
        <w:rPr>
          <w:rFonts w:ascii="Arial" w:hAnsi="Arial" w:cs="Arial"/>
          <w:szCs w:val="24"/>
        </w:rPr>
        <w:t>Support to mitigate Unemployment Risks in an Emergency</w:t>
      </w:r>
      <w:r w:rsidR="007464CF">
        <w:rPr>
          <w:rFonts w:ascii="Arial" w:hAnsi="Arial" w:cs="Arial"/>
          <w:szCs w:val="24"/>
        </w:rPr>
        <w:t>” (SURE) programme, respectively, aims to provide short term relief to member state economies, while also trying to build resiliency across the single market.</w:t>
      </w:r>
      <w:r>
        <w:rPr>
          <w:rFonts w:ascii="Arial" w:hAnsi="Arial" w:cs="Arial"/>
          <w:szCs w:val="24"/>
        </w:rPr>
        <w:t xml:space="preserve"> </w:t>
      </w:r>
    </w:p>
    <w:p w:rsidR="000B2A16" w:rsidRPr="000B2A16" w:rsidRDefault="000B2A16" w:rsidP="00726E7F">
      <w:pPr>
        <w:spacing w:before="120" w:after="120" w:line="360" w:lineRule="auto"/>
        <w:rPr>
          <w:rFonts w:ascii="Arial" w:hAnsi="Arial" w:cs="Arial"/>
          <w:b/>
          <w:szCs w:val="24"/>
        </w:rPr>
      </w:pPr>
      <w:r w:rsidRPr="000B2A16">
        <w:rPr>
          <w:rFonts w:ascii="Arial" w:hAnsi="Arial" w:cs="Arial"/>
          <w:b/>
          <w:szCs w:val="24"/>
        </w:rPr>
        <w:t>European Commission</w:t>
      </w:r>
    </w:p>
    <w:p w:rsidR="008C5D8C" w:rsidRDefault="000B2A16" w:rsidP="000B2A16">
      <w:pPr>
        <w:spacing w:after="120" w:line="240" w:lineRule="auto"/>
        <w:rPr>
          <w:rFonts w:ascii="Arial" w:hAnsi="Arial" w:cs="Arial"/>
          <w:szCs w:val="24"/>
        </w:rPr>
      </w:pPr>
      <w:r w:rsidRPr="000B2A16">
        <w:rPr>
          <w:rFonts w:ascii="Arial" w:hAnsi="Arial" w:cs="Arial"/>
          <w:szCs w:val="24"/>
        </w:rPr>
        <w:t xml:space="preserve">The European Commission </w:t>
      </w:r>
      <w:hyperlink r:id="rId8" w:history="1">
        <w:r w:rsidRPr="008C5D8C">
          <w:rPr>
            <w:rStyle w:val="Hyperlink"/>
            <w:rFonts w:ascii="Arial" w:hAnsi="Arial" w:cs="Arial"/>
            <w:szCs w:val="24"/>
          </w:rPr>
          <w:t>adopted</w:t>
        </w:r>
      </w:hyperlink>
      <w:r w:rsidRPr="000B2A16">
        <w:rPr>
          <w:rFonts w:ascii="Arial" w:hAnsi="Arial" w:cs="Arial"/>
          <w:szCs w:val="24"/>
        </w:rPr>
        <w:t xml:space="preserve"> a Temporary Framework </w:t>
      </w:r>
      <w:r w:rsidR="008C5D8C">
        <w:rPr>
          <w:rFonts w:ascii="Arial" w:hAnsi="Arial" w:cs="Arial"/>
          <w:szCs w:val="24"/>
        </w:rPr>
        <w:t>on 19 March 2020 for state aid measures member states can take to support their respective economies as a result of the pandemic</w:t>
      </w:r>
      <w:r w:rsidRPr="000B2A16">
        <w:rPr>
          <w:rFonts w:ascii="Arial" w:hAnsi="Arial" w:cs="Arial"/>
          <w:szCs w:val="24"/>
        </w:rPr>
        <w:t xml:space="preserve">. </w:t>
      </w:r>
      <w:r w:rsidR="008C5D8C">
        <w:rPr>
          <w:rFonts w:ascii="Arial" w:hAnsi="Arial" w:cs="Arial"/>
          <w:szCs w:val="24"/>
        </w:rPr>
        <w:t>The framework includes five types of aid, including measures relating to short-term export credit insurance.</w:t>
      </w:r>
    </w:p>
    <w:p w:rsidR="0050149A" w:rsidRDefault="008C5D8C" w:rsidP="000B2A16">
      <w:pPr>
        <w:spacing w:after="120" w:line="240" w:lineRule="auto"/>
        <w:rPr>
          <w:rFonts w:ascii="Arial" w:hAnsi="Arial" w:cs="Arial"/>
          <w:szCs w:val="24"/>
        </w:rPr>
      </w:pPr>
      <w:r>
        <w:rPr>
          <w:rFonts w:ascii="Arial" w:hAnsi="Arial" w:cs="Arial"/>
          <w:szCs w:val="24"/>
        </w:rPr>
        <w:t xml:space="preserve">In this context, the Commission launched an urgent information request on </w:t>
      </w:r>
      <w:hyperlink r:id="rId9" w:history="1">
        <w:r w:rsidRPr="008C5D8C">
          <w:rPr>
            <w:rStyle w:val="Hyperlink"/>
            <w:rFonts w:ascii="Arial" w:hAnsi="Arial" w:cs="Arial"/>
            <w:szCs w:val="24"/>
          </w:rPr>
          <w:t>23 March 2020</w:t>
        </w:r>
      </w:hyperlink>
      <w:r>
        <w:rPr>
          <w:rFonts w:ascii="Arial" w:hAnsi="Arial" w:cs="Arial"/>
          <w:szCs w:val="24"/>
        </w:rPr>
        <w:t xml:space="preserve"> to assess the availability of short-term export credit insurance and steps it could take to increase capacity.  Following this, on </w:t>
      </w:r>
      <w:hyperlink r:id="rId10" w:history="1">
        <w:r w:rsidRPr="00C945E3">
          <w:rPr>
            <w:rStyle w:val="Hyperlink"/>
            <w:rFonts w:ascii="Arial" w:hAnsi="Arial" w:cs="Arial"/>
            <w:szCs w:val="24"/>
          </w:rPr>
          <w:t>27 March 2020</w:t>
        </w:r>
      </w:hyperlink>
      <w:r>
        <w:rPr>
          <w:rFonts w:ascii="Arial" w:hAnsi="Arial" w:cs="Arial"/>
          <w:szCs w:val="24"/>
        </w:rPr>
        <w:t xml:space="preserve">, the Commission decided to </w:t>
      </w:r>
      <w:r w:rsidRPr="008C5D8C">
        <w:rPr>
          <w:rFonts w:ascii="Arial" w:hAnsi="Arial" w:cs="Arial"/>
          <w:szCs w:val="24"/>
        </w:rPr>
        <w:t>temporarily remove all countries from the list of “marketable risk" countries under the </w:t>
      </w:r>
      <w:hyperlink r:id="rId11" w:history="1">
        <w:r w:rsidRPr="008C5D8C">
          <w:rPr>
            <w:rStyle w:val="Hyperlink"/>
            <w:rFonts w:ascii="Arial" w:hAnsi="Arial" w:cs="Arial"/>
            <w:szCs w:val="24"/>
          </w:rPr>
          <w:t>Short-term export-credit insurance Communication</w:t>
        </w:r>
      </w:hyperlink>
      <w:r w:rsidRPr="008C5D8C">
        <w:rPr>
          <w:rFonts w:ascii="Arial" w:hAnsi="Arial" w:cs="Arial"/>
          <w:szCs w:val="24"/>
        </w:rPr>
        <w:t>.</w:t>
      </w:r>
      <w:r>
        <w:rPr>
          <w:rFonts w:ascii="Arial" w:hAnsi="Arial" w:cs="Arial"/>
          <w:szCs w:val="24"/>
        </w:rPr>
        <w:t xml:space="preserve"> </w:t>
      </w:r>
    </w:p>
    <w:p w:rsidR="000B2A16" w:rsidRPr="000B2A16" w:rsidRDefault="008C5D8C" w:rsidP="000B2A16">
      <w:pPr>
        <w:spacing w:after="120" w:line="240" w:lineRule="auto"/>
        <w:rPr>
          <w:rFonts w:ascii="Arial" w:hAnsi="Arial" w:cs="Arial"/>
          <w:szCs w:val="24"/>
        </w:rPr>
      </w:pPr>
      <w:r>
        <w:rPr>
          <w:rFonts w:ascii="Arial" w:hAnsi="Arial" w:cs="Arial"/>
          <w:szCs w:val="24"/>
        </w:rPr>
        <w:t xml:space="preserve">The Commission believes that this will lead to </w:t>
      </w:r>
      <w:r w:rsidRPr="008C5D8C">
        <w:rPr>
          <w:rFonts w:ascii="Arial" w:hAnsi="Arial" w:cs="Arial"/>
          <w:szCs w:val="24"/>
        </w:rPr>
        <w:t>State insurers</w:t>
      </w:r>
      <w:r>
        <w:rPr>
          <w:rFonts w:ascii="Arial" w:hAnsi="Arial" w:cs="Arial"/>
          <w:szCs w:val="24"/>
        </w:rPr>
        <w:t xml:space="preserve"> being “able </w:t>
      </w:r>
      <w:r w:rsidRPr="008C5D8C">
        <w:rPr>
          <w:rFonts w:ascii="Arial" w:hAnsi="Arial" w:cs="Arial"/>
          <w:szCs w:val="24"/>
        </w:rPr>
        <w:t>to step in and provide insurance for short-term export-credit risk for all countries, without the need for the Member State in question to demonstrate that the respective country</w:t>
      </w:r>
      <w:r>
        <w:rPr>
          <w:rFonts w:ascii="Arial" w:hAnsi="Arial" w:cs="Arial"/>
          <w:szCs w:val="24"/>
        </w:rPr>
        <w:t xml:space="preserve"> is temporarily “</w:t>
      </w:r>
      <w:proofErr w:type="spellStart"/>
      <w:r>
        <w:rPr>
          <w:rFonts w:ascii="Arial" w:hAnsi="Arial" w:cs="Arial"/>
          <w:szCs w:val="24"/>
        </w:rPr>
        <w:t>non marketable</w:t>
      </w:r>
      <w:proofErr w:type="spellEnd"/>
      <w:r w:rsidRPr="008C5D8C">
        <w:rPr>
          <w:rFonts w:ascii="Arial" w:hAnsi="Arial" w:cs="Arial"/>
          <w:szCs w:val="24"/>
        </w:rPr>
        <w:t>”</w:t>
      </w:r>
      <w:r>
        <w:rPr>
          <w:rFonts w:ascii="Arial" w:hAnsi="Arial" w:cs="Arial"/>
          <w:szCs w:val="24"/>
        </w:rPr>
        <w:t>.”</w:t>
      </w:r>
    </w:p>
    <w:p w:rsidR="000B2A16" w:rsidRDefault="000B2A16" w:rsidP="00726E7F">
      <w:pPr>
        <w:spacing w:before="120" w:after="120" w:line="360" w:lineRule="auto"/>
        <w:rPr>
          <w:rFonts w:ascii="Arial" w:hAnsi="Arial" w:cs="Arial"/>
          <w:b/>
          <w:szCs w:val="24"/>
        </w:rPr>
      </w:pPr>
      <w:r>
        <w:rPr>
          <w:rFonts w:ascii="Arial" w:hAnsi="Arial" w:cs="Arial"/>
          <w:b/>
          <w:szCs w:val="24"/>
        </w:rPr>
        <w:t>European Central Bank (ECB)</w:t>
      </w:r>
    </w:p>
    <w:p w:rsidR="000B2A16" w:rsidRDefault="000B2A16" w:rsidP="000B2A16">
      <w:pPr>
        <w:spacing w:after="120" w:line="240" w:lineRule="auto"/>
        <w:rPr>
          <w:rFonts w:ascii="Arial" w:hAnsi="Arial" w:cs="Arial"/>
          <w:szCs w:val="24"/>
        </w:rPr>
      </w:pPr>
      <w:r>
        <w:rPr>
          <w:rFonts w:ascii="Arial" w:hAnsi="Arial" w:cs="Arial"/>
          <w:szCs w:val="24"/>
        </w:rPr>
        <w:t>The</w:t>
      </w:r>
      <w:r w:rsidRPr="000B2A16">
        <w:rPr>
          <w:rFonts w:ascii="Arial" w:hAnsi="Arial" w:cs="Arial"/>
          <w:szCs w:val="24"/>
        </w:rPr>
        <w:t xml:space="preserve"> ECB</w:t>
      </w:r>
      <w:r>
        <w:rPr>
          <w:rFonts w:ascii="Arial" w:hAnsi="Arial" w:cs="Arial"/>
          <w:szCs w:val="24"/>
        </w:rPr>
        <w:t xml:space="preserve"> </w:t>
      </w:r>
      <w:hyperlink r:id="rId12" w:history="1">
        <w:r w:rsidRPr="000B2A16">
          <w:rPr>
            <w:rStyle w:val="Hyperlink"/>
            <w:rFonts w:ascii="Arial" w:hAnsi="Arial" w:cs="Arial"/>
            <w:szCs w:val="24"/>
          </w:rPr>
          <w:t>announced</w:t>
        </w:r>
      </w:hyperlink>
      <w:r>
        <w:rPr>
          <w:rFonts w:ascii="Arial" w:hAnsi="Arial" w:cs="Arial"/>
          <w:szCs w:val="24"/>
        </w:rPr>
        <w:t xml:space="preserve"> on 18 March 2020 the introduction of a </w:t>
      </w:r>
      <w:r w:rsidRPr="000B2A16">
        <w:rPr>
          <w:rFonts w:ascii="Arial" w:hAnsi="Arial" w:cs="Arial"/>
          <w:szCs w:val="24"/>
        </w:rPr>
        <w:t xml:space="preserve">temporary asset purchase programme of private and public sector securities </w:t>
      </w:r>
      <w:r>
        <w:rPr>
          <w:rFonts w:ascii="Arial" w:hAnsi="Arial" w:cs="Arial"/>
          <w:szCs w:val="24"/>
        </w:rPr>
        <w:t>in an effort to mitigate the impact of the pandemic in the euro area.</w:t>
      </w:r>
      <w:r w:rsidRPr="000B2A16">
        <w:rPr>
          <w:rFonts w:ascii="Arial" w:hAnsi="Arial" w:cs="Arial"/>
          <w:szCs w:val="24"/>
        </w:rPr>
        <w:t xml:space="preserve"> </w:t>
      </w:r>
    </w:p>
    <w:p w:rsidR="000B2A16" w:rsidRPr="000B2A16" w:rsidRDefault="000B2A16" w:rsidP="000B2A16">
      <w:pPr>
        <w:spacing w:after="120" w:line="240" w:lineRule="auto"/>
        <w:rPr>
          <w:rFonts w:ascii="Arial" w:hAnsi="Arial" w:cs="Arial"/>
          <w:szCs w:val="24"/>
        </w:rPr>
      </w:pPr>
      <w:r>
        <w:rPr>
          <w:rFonts w:ascii="Arial" w:hAnsi="Arial" w:cs="Arial"/>
          <w:szCs w:val="24"/>
        </w:rPr>
        <w:t xml:space="preserve">On 20 March, it also </w:t>
      </w:r>
      <w:hyperlink r:id="rId13" w:history="1">
        <w:r w:rsidRPr="000B2A16">
          <w:rPr>
            <w:rStyle w:val="Hyperlink"/>
            <w:rFonts w:ascii="Arial" w:hAnsi="Arial" w:cs="Arial"/>
            <w:szCs w:val="24"/>
          </w:rPr>
          <w:t>announced</w:t>
        </w:r>
      </w:hyperlink>
      <w:r>
        <w:rPr>
          <w:rFonts w:ascii="Arial" w:hAnsi="Arial" w:cs="Arial"/>
          <w:szCs w:val="24"/>
        </w:rPr>
        <w:t xml:space="preserve"> the introduction of greater supervisory flexibility regarding the treatment of non-performing loans</w:t>
      </w:r>
      <w:r w:rsidRPr="000B2A16">
        <w:rPr>
          <w:rFonts w:ascii="Arial" w:hAnsi="Arial" w:cs="Arial"/>
          <w:szCs w:val="24"/>
        </w:rPr>
        <w:t xml:space="preserve"> </w:t>
      </w:r>
      <w:r>
        <w:rPr>
          <w:rFonts w:ascii="Arial" w:hAnsi="Arial" w:cs="Arial"/>
          <w:szCs w:val="24"/>
        </w:rPr>
        <w:t>and recommended that, “…</w:t>
      </w:r>
      <w:r w:rsidRPr="000B2A16">
        <w:rPr>
          <w:rFonts w:ascii="Arial" w:hAnsi="Arial" w:cs="Arial"/>
          <w:szCs w:val="24"/>
        </w:rPr>
        <w:t xml:space="preserve">banks avoid </w:t>
      </w:r>
      <w:proofErr w:type="spellStart"/>
      <w:r w:rsidRPr="000B2A16">
        <w:rPr>
          <w:rFonts w:ascii="Arial" w:hAnsi="Arial" w:cs="Arial"/>
          <w:szCs w:val="24"/>
        </w:rPr>
        <w:t>procyclical</w:t>
      </w:r>
      <w:proofErr w:type="spellEnd"/>
      <w:r w:rsidRPr="000B2A16">
        <w:rPr>
          <w:rFonts w:ascii="Arial" w:hAnsi="Arial" w:cs="Arial"/>
          <w:szCs w:val="24"/>
        </w:rPr>
        <w:t xml:space="preserve"> assumptions in their models to determine provisions and that those banks that have not done this so far opt for the IFRS 9 transitional rules</w:t>
      </w:r>
      <w:r>
        <w:rPr>
          <w:rFonts w:ascii="Arial" w:hAnsi="Arial" w:cs="Arial"/>
          <w:szCs w:val="24"/>
        </w:rPr>
        <w:t>”</w:t>
      </w:r>
      <w:r w:rsidRPr="000B2A16">
        <w:rPr>
          <w:rFonts w:ascii="Arial" w:hAnsi="Arial" w:cs="Arial"/>
          <w:szCs w:val="24"/>
        </w:rPr>
        <w:t>.</w:t>
      </w:r>
    </w:p>
    <w:p w:rsidR="005B177F" w:rsidRDefault="005B177F" w:rsidP="00726E7F">
      <w:pPr>
        <w:spacing w:before="120" w:after="120" w:line="360" w:lineRule="auto"/>
        <w:rPr>
          <w:rFonts w:ascii="Arial" w:hAnsi="Arial" w:cs="Arial"/>
          <w:b/>
          <w:szCs w:val="24"/>
        </w:rPr>
      </w:pPr>
    </w:p>
    <w:p w:rsidR="008C45FB" w:rsidRDefault="008C45FB" w:rsidP="00726E7F">
      <w:pPr>
        <w:spacing w:before="120" w:after="120" w:line="360" w:lineRule="auto"/>
        <w:rPr>
          <w:rFonts w:ascii="Arial" w:hAnsi="Arial" w:cs="Arial"/>
          <w:b/>
          <w:szCs w:val="24"/>
        </w:rPr>
      </w:pPr>
      <w:r w:rsidRPr="00726E7F">
        <w:rPr>
          <w:rFonts w:ascii="Arial" w:hAnsi="Arial" w:cs="Arial"/>
          <w:b/>
          <w:szCs w:val="24"/>
        </w:rPr>
        <w:t>EIOPA</w:t>
      </w:r>
    </w:p>
    <w:p w:rsidR="00726E7F" w:rsidRDefault="00726E7F" w:rsidP="00726E7F">
      <w:pPr>
        <w:spacing w:after="120" w:line="240" w:lineRule="auto"/>
        <w:rPr>
          <w:rFonts w:ascii="Arial" w:hAnsi="Arial" w:cs="Arial"/>
          <w:szCs w:val="24"/>
        </w:rPr>
      </w:pPr>
      <w:r>
        <w:rPr>
          <w:rFonts w:ascii="Arial" w:hAnsi="Arial" w:cs="Arial"/>
          <w:szCs w:val="24"/>
        </w:rPr>
        <w:t xml:space="preserve">EIOPA issued </w:t>
      </w:r>
      <w:hyperlink r:id="rId14" w:history="1">
        <w:r w:rsidRPr="00726E7F">
          <w:rPr>
            <w:rStyle w:val="Hyperlink"/>
            <w:rFonts w:ascii="Arial" w:hAnsi="Arial" w:cs="Arial"/>
            <w:szCs w:val="24"/>
          </w:rPr>
          <w:t>recommendations</w:t>
        </w:r>
      </w:hyperlink>
      <w:r>
        <w:rPr>
          <w:rFonts w:ascii="Arial" w:hAnsi="Arial" w:cs="Arial"/>
          <w:szCs w:val="24"/>
        </w:rPr>
        <w:t xml:space="preserve"> to EU member state national competent authorities calling for</w:t>
      </w:r>
      <w:r w:rsidRPr="00726E7F">
        <w:rPr>
          <w:rFonts w:ascii="Arial" w:hAnsi="Arial" w:cs="Arial"/>
          <w:szCs w:val="24"/>
        </w:rPr>
        <w:t xml:space="preserve"> flexibility </w:t>
      </w:r>
      <w:r>
        <w:rPr>
          <w:rFonts w:ascii="Arial" w:hAnsi="Arial" w:cs="Arial"/>
          <w:szCs w:val="24"/>
        </w:rPr>
        <w:t>on</w:t>
      </w:r>
      <w:r w:rsidRPr="00726E7F">
        <w:rPr>
          <w:rFonts w:ascii="Arial" w:hAnsi="Arial" w:cs="Arial"/>
          <w:szCs w:val="24"/>
        </w:rPr>
        <w:t xml:space="preserve"> reporting and public disclosure</w:t>
      </w:r>
      <w:r>
        <w:rPr>
          <w:rFonts w:ascii="Arial" w:hAnsi="Arial" w:cs="Arial"/>
          <w:szCs w:val="24"/>
        </w:rPr>
        <w:t>, including</w:t>
      </w:r>
      <w:r w:rsidRPr="00726E7F">
        <w:rPr>
          <w:rFonts w:ascii="Arial" w:hAnsi="Arial" w:cs="Arial"/>
          <w:szCs w:val="24"/>
        </w:rPr>
        <w:t>: Annual reporting referring to year-end occurring on 31 December 2019; Quarterly reporting referring to Q1-2020; Solvency and Financial Condition Report referring to year-end occurring on 31 December 2019.</w:t>
      </w:r>
    </w:p>
    <w:p w:rsidR="00726E7F" w:rsidRDefault="00726E7F" w:rsidP="00726E7F">
      <w:pPr>
        <w:spacing w:after="120" w:line="240" w:lineRule="auto"/>
        <w:rPr>
          <w:rFonts w:ascii="Arial" w:hAnsi="Arial" w:cs="Arial"/>
          <w:szCs w:val="24"/>
        </w:rPr>
      </w:pPr>
      <w:r>
        <w:rPr>
          <w:rFonts w:ascii="Arial" w:hAnsi="Arial" w:cs="Arial"/>
          <w:szCs w:val="24"/>
        </w:rPr>
        <w:t xml:space="preserve">EIOPA also </w:t>
      </w:r>
      <w:hyperlink r:id="rId15" w:history="1">
        <w:r w:rsidRPr="00726E7F">
          <w:rPr>
            <w:rStyle w:val="Hyperlink"/>
            <w:rFonts w:ascii="Arial" w:hAnsi="Arial" w:cs="Arial"/>
            <w:szCs w:val="24"/>
          </w:rPr>
          <w:t>confirmed</w:t>
        </w:r>
      </w:hyperlink>
      <w:r>
        <w:rPr>
          <w:rFonts w:ascii="Arial" w:hAnsi="Arial" w:cs="Arial"/>
          <w:szCs w:val="24"/>
        </w:rPr>
        <w:t xml:space="preserve"> that it </w:t>
      </w:r>
      <w:r w:rsidRPr="00726E7F">
        <w:rPr>
          <w:rFonts w:ascii="Arial" w:hAnsi="Arial" w:cs="Arial"/>
          <w:szCs w:val="24"/>
        </w:rPr>
        <w:t xml:space="preserve">will limit </w:t>
      </w:r>
      <w:r>
        <w:rPr>
          <w:rFonts w:ascii="Arial" w:hAnsi="Arial" w:cs="Arial"/>
          <w:szCs w:val="24"/>
        </w:rPr>
        <w:t>information requests</w:t>
      </w:r>
      <w:r w:rsidRPr="00726E7F">
        <w:rPr>
          <w:rFonts w:ascii="Arial" w:hAnsi="Arial" w:cs="Arial"/>
          <w:szCs w:val="24"/>
        </w:rPr>
        <w:t xml:space="preserve"> and consultations </w:t>
      </w:r>
      <w:r>
        <w:rPr>
          <w:rFonts w:ascii="Arial" w:hAnsi="Arial" w:cs="Arial"/>
          <w:szCs w:val="24"/>
        </w:rPr>
        <w:t>to only essential matters relating to the impact of the pandemic on the sector.</w:t>
      </w:r>
      <w:r w:rsidRPr="00726E7F">
        <w:rPr>
          <w:rFonts w:ascii="Arial" w:hAnsi="Arial" w:cs="Arial"/>
          <w:szCs w:val="24"/>
        </w:rPr>
        <w:t xml:space="preserve"> </w:t>
      </w:r>
      <w:r>
        <w:rPr>
          <w:rFonts w:ascii="Arial" w:hAnsi="Arial" w:cs="Arial"/>
          <w:szCs w:val="24"/>
        </w:rPr>
        <w:t>It also announced the extension of</w:t>
      </w:r>
      <w:r w:rsidRPr="00726E7F">
        <w:rPr>
          <w:rFonts w:ascii="Arial" w:hAnsi="Arial" w:cs="Arial"/>
          <w:szCs w:val="24"/>
        </w:rPr>
        <w:t xml:space="preserve"> the deadline of the Holistic Impact Assessment for the 2020 Solvency II Review by two months, to 1 June 2020. </w:t>
      </w:r>
    </w:p>
    <w:p w:rsidR="00EF4453" w:rsidRDefault="00EF4453" w:rsidP="00726E7F">
      <w:pPr>
        <w:spacing w:after="120" w:line="240" w:lineRule="auto"/>
        <w:rPr>
          <w:rFonts w:ascii="Arial" w:hAnsi="Arial" w:cs="Arial"/>
          <w:szCs w:val="24"/>
        </w:rPr>
      </w:pPr>
      <w:r>
        <w:rPr>
          <w:rFonts w:ascii="Arial" w:hAnsi="Arial" w:cs="Arial"/>
          <w:szCs w:val="24"/>
        </w:rPr>
        <w:t xml:space="preserve">On 27 March 2020, EIOPA </w:t>
      </w:r>
      <w:hyperlink r:id="rId16" w:history="1">
        <w:r w:rsidRPr="00EF4453">
          <w:rPr>
            <w:rStyle w:val="Hyperlink"/>
            <w:rFonts w:ascii="Arial" w:hAnsi="Arial" w:cs="Arial"/>
            <w:szCs w:val="24"/>
          </w:rPr>
          <w:t>announced</w:t>
        </w:r>
      </w:hyperlink>
      <w:r>
        <w:rPr>
          <w:rFonts w:ascii="Arial" w:hAnsi="Arial" w:cs="Arial"/>
          <w:szCs w:val="24"/>
        </w:rPr>
        <w:t xml:space="preserve"> it would shortly begin to </w:t>
      </w:r>
      <w:r w:rsidRPr="00EF4453">
        <w:rPr>
          <w:rFonts w:ascii="Arial" w:hAnsi="Arial" w:cs="Arial"/>
          <w:szCs w:val="24"/>
        </w:rPr>
        <w:t>carry out extraordinary calculations on weekly</w:t>
      </w:r>
      <w:r>
        <w:rPr>
          <w:rFonts w:ascii="Arial" w:hAnsi="Arial" w:cs="Arial"/>
          <w:szCs w:val="24"/>
        </w:rPr>
        <w:t xml:space="preserve"> </w:t>
      </w:r>
      <w:r w:rsidRPr="00EF4453">
        <w:rPr>
          <w:rFonts w:ascii="Arial" w:hAnsi="Arial" w:cs="Arial"/>
          <w:szCs w:val="24"/>
        </w:rPr>
        <w:t>basis</w:t>
      </w:r>
      <w:r>
        <w:rPr>
          <w:rFonts w:ascii="Arial" w:hAnsi="Arial" w:cs="Arial"/>
          <w:szCs w:val="24"/>
        </w:rPr>
        <w:t xml:space="preserve"> (as opposed to the current monthly basis)</w:t>
      </w:r>
      <w:r w:rsidRPr="00EF4453">
        <w:rPr>
          <w:rFonts w:ascii="Arial" w:hAnsi="Arial" w:cs="Arial"/>
          <w:szCs w:val="24"/>
        </w:rPr>
        <w:t xml:space="preserve"> to monitor the evolution of the relevant risk-free interest rate term structures (RFR) and the symmetric </w:t>
      </w:r>
      <w:r>
        <w:rPr>
          <w:rFonts w:ascii="Arial" w:hAnsi="Arial" w:cs="Arial"/>
          <w:szCs w:val="24"/>
        </w:rPr>
        <w:t>adjustment to equity risk (EDA) and will publish these on their website.</w:t>
      </w:r>
    </w:p>
    <w:p w:rsidR="00F67276" w:rsidRDefault="00F67276" w:rsidP="00726E7F">
      <w:pPr>
        <w:spacing w:after="120" w:line="240" w:lineRule="auto"/>
        <w:rPr>
          <w:rFonts w:ascii="Arial" w:hAnsi="Arial" w:cs="Arial"/>
          <w:szCs w:val="24"/>
        </w:rPr>
      </w:pPr>
      <w:r>
        <w:rPr>
          <w:rFonts w:ascii="Arial" w:hAnsi="Arial" w:cs="Arial"/>
          <w:szCs w:val="24"/>
        </w:rPr>
        <w:t xml:space="preserve">On 1 April 2020, </w:t>
      </w:r>
      <w:hyperlink r:id="rId17" w:history="1">
        <w:r w:rsidRPr="00F67276">
          <w:rPr>
            <w:rStyle w:val="Hyperlink"/>
            <w:rFonts w:ascii="Arial" w:hAnsi="Arial" w:cs="Arial"/>
            <w:szCs w:val="24"/>
          </w:rPr>
          <w:t>EIOPA urged continued action</w:t>
        </w:r>
      </w:hyperlink>
      <w:r>
        <w:rPr>
          <w:rFonts w:ascii="Arial" w:hAnsi="Arial" w:cs="Arial"/>
          <w:szCs w:val="24"/>
        </w:rPr>
        <w:t xml:space="preserve"> by insurance market participants to mitigate the impact of the Covid-19 pandemic, and in particular, called for continued access and continuity of insurance services. While this communication is primarily aimed at protecting retail consumers, the principles which EIOPA sets out relating timely and clear communications with policyholders and ongoing product oversight and governance will apply across the board and highlights a key area of supervisory focus during the current crisis.</w:t>
      </w:r>
    </w:p>
    <w:p w:rsidR="00F67276" w:rsidRDefault="0074224A" w:rsidP="00726E7F">
      <w:pPr>
        <w:spacing w:after="120" w:line="240" w:lineRule="auto"/>
        <w:rPr>
          <w:rFonts w:ascii="Arial" w:hAnsi="Arial" w:cs="Arial"/>
          <w:szCs w:val="24"/>
        </w:rPr>
      </w:pPr>
      <w:hyperlink r:id="rId18" w:history="1">
        <w:r w:rsidR="00F67276" w:rsidRPr="00F67276">
          <w:rPr>
            <w:rStyle w:val="Hyperlink"/>
            <w:rFonts w:ascii="Arial" w:hAnsi="Arial" w:cs="Arial"/>
            <w:szCs w:val="24"/>
          </w:rPr>
          <w:t xml:space="preserve">EIOPA issued a </w:t>
        </w:r>
        <w:r w:rsidR="00F67276">
          <w:rPr>
            <w:rStyle w:val="Hyperlink"/>
            <w:rFonts w:ascii="Arial" w:hAnsi="Arial" w:cs="Arial"/>
            <w:szCs w:val="24"/>
          </w:rPr>
          <w:t xml:space="preserve">further </w:t>
        </w:r>
        <w:r w:rsidR="00F67276" w:rsidRPr="00F67276">
          <w:rPr>
            <w:rStyle w:val="Hyperlink"/>
            <w:rFonts w:ascii="Arial" w:hAnsi="Arial" w:cs="Arial"/>
            <w:szCs w:val="24"/>
          </w:rPr>
          <w:t>statement</w:t>
        </w:r>
      </w:hyperlink>
      <w:r w:rsidR="00F67276">
        <w:rPr>
          <w:rFonts w:ascii="Arial" w:hAnsi="Arial" w:cs="Arial"/>
          <w:szCs w:val="24"/>
        </w:rPr>
        <w:t xml:space="preserve"> on 2 April 2020, calling on “…(re)insurers [to]</w:t>
      </w:r>
      <w:r w:rsidR="00F67276" w:rsidRPr="00F67276">
        <w:rPr>
          <w:rFonts w:ascii="Arial" w:hAnsi="Arial" w:cs="Arial"/>
          <w:szCs w:val="24"/>
        </w:rPr>
        <w:t xml:space="preserve"> take measures to preserve their capital position in balance with the protection of the insured, following prudent dividend and other distribution policies, </w:t>
      </w:r>
      <w:r w:rsidR="00F67276">
        <w:rPr>
          <w:rFonts w:ascii="Arial" w:hAnsi="Arial" w:cs="Arial"/>
          <w:szCs w:val="24"/>
        </w:rPr>
        <w:t xml:space="preserve">including variable remuneration”. In particular, it urged (re)insurers to </w:t>
      </w:r>
      <w:r w:rsidR="00F67276" w:rsidRPr="00F67276">
        <w:rPr>
          <w:rFonts w:ascii="Arial" w:hAnsi="Arial" w:cs="Arial"/>
          <w:szCs w:val="24"/>
        </w:rPr>
        <w:t>temporarily suspend all discretionary dividend distributions and share buy backs aimed at remunerating shareholders</w:t>
      </w:r>
      <w:r w:rsidR="00F67276">
        <w:rPr>
          <w:rFonts w:ascii="Arial" w:hAnsi="Arial" w:cs="Arial"/>
          <w:szCs w:val="24"/>
        </w:rPr>
        <w:t>.</w:t>
      </w:r>
      <w:r w:rsidR="006B2930">
        <w:rPr>
          <w:rFonts w:ascii="Arial" w:hAnsi="Arial" w:cs="Arial"/>
          <w:szCs w:val="24"/>
        </w:rPr>
        <w:t xml:space="preserve"> This advice from EIOPA mirrors similar calls from the ECB, EBA and ESMA.</w:t>
      </w:r>
    </w:p>
    <w:p w:rsidR="00726E7F" w:rsidRDefault="00726E7F" w:rsidP="00726E7F">
      <w:pPr>
        <w:spacing w:after="120" w:line="240" w:lineRule="auto"/>
        <w:rPr>
          <w:rFonts w:ascii="Arial" w:hAnsi="Arial" w:cs="Arial"/>
          <w:b/>
          <w:szCs w:val="24"/>
        </w:rPr>
      </w:pPr>
      <w:r w:rsidRPr="00726E7F">
        <w:rPr>
          <w:rFonts w:ascii="Arial" w:hAnsi="Arial" w:cs="Arial"/>
          <w:b/>
          <w:szCs w:val="24"/>
        </w:rPr>
        <w:t>Other E</w:t>
      </w:r>
      <w:r>
        <w:rPr>
          <w:rFonts w:ascii="Arial" w:hAnsi="Arial" w:cs="Arial"/>
          <w:b/>
          <w:szCs w:val="24"/>
        </w:rPr>
        <w:t xml:space="preserve">uropean </w:t>
      </w:r>
      <w:r w:rsidRPr="00726E7F">
        <w:rPr>
          <w:rFonts w:ascii="Arial" w:hAnsi="Arial" w:cs="Arial"/>
          <w:b/>
          <w:szCs w:val="24"/>
        </w:rPr>
        <w:t>S</w:t>
      </w:r>
      <w:r>
        <w:rPr>
          <w:rFonts w:ascii="Arial" w:hAnsi="Arial" w:cs="Arial"/>
          <w:b/>
          <w:szCs w:val="24"/>
        </w:rPr>
        <w:t xml:space="preserve">upervisory </w:t>
      </w:r>
      <w:r w:rsidRPr="00726E7F">
        <w:rPr>
          <w:rFonts w:ascii="Arial" w:hAnsi="Arial" w:cs="Arial"/>
          <w:b/>
          <w:szCs w:val="24"/>
        </w:rPr>
        <w:t>A</w:t>
      </w:r>
      <w:r>
        <w:rPr>
          <w:rFonts w:ascii="Arial" w:hAnsi="Arial" w:cs="Arial"/>
          <w:b/>
          <w:szCs w:val="24"/>
        </w:rPr>
        <w:t>uthorities</w:t>
      </w:r>
    </w:p>
    <w:p w:rsidR="00D85E0F" w:rsidRDefault="00726E7F" w:rsidP="00726E7F">
      <w:pPr>
        <w:spacing w:after="120" w:line="240" w:lineRule="auto"/>
        <w:rPr>
          <w:rFonts w:ascii="Arial" w:hAnsi="Arial" w:cs="Arial"/>
          <w:szCs w:val="24"/>
        </w:rPr>
      </w:pPr>
      <w:r w:rsidRPr="00D85E0F">
        <w:rPr>
          <w:rFonts w:ascii="Arial" w:hAnsi="Arial" w:cs="Arial"/>
          <w:b/>
          <w:szCs w:val="24"/>
        </w:rPr>
        <w:t>EBA</w:t>
      </w:r>
      <w:r w:rsidRPr="00726E7F">
        <w:rPr>
          <w:rFonts w:ascii="Arial" w:hAnsi="Arial" w:cs="Arial"/>
          <w:szCs w:val="24"/>
        </w:rPr>
        <w:t xml:space="preserve"> issued a </w:t>
      </w:r>
      <w:hyperlink r:id="rId19" w:history="1">
        <w:r w:rsidRPr="00726E7F">
          <w:rPr>
            <w:rStyle w:val="Hyperlink"/>
            <w:rFonts w:ascii="Arial" w:hAnsi="Arial" w:cs="Arial"/>
            <w:szCs w:val="24"/>
          </w:rPr>
          <w:t>statement</w:t>
        </w:r>
      </w:hyperlink>
      <w:r w:rsidRPr="00726E7F">
        <w:rPr>
          <w:rFonts w:ascii="Arial" w:hAnsi="Arial" w:cs="Arial"/>
          <w:szCs w:val="24"/>
        </w:rPr>
        <w:t xml:space="preserve"> regarding the </w:t>
      </w:r>
      <w:r>
        <w:rPr>
          <w:rFonts w:ascii="Arial" w:hAnsi="Arial" w:cs="Arial"/>
          <w:szCs w:val="24"/>
        </w:rPr>
        <w:t xml:space="preserve">application of the </w:t>
      </w:r>
      <w:r w:rsidRPr="00726E7F">
        <w:rPr>
          <w:rFonts w:ascii="Arial" w:hAnsi="Arial" w:cs="Arial"/>
          <w:szCs w:val="24"/>
        </w:rPr>
        <w:t xml:space="preserve">prudential framework and </w:t>
      </w:r>
      <w:r>
        <w:rPr>
          <w:rFonts w:ascii="Arial" w:hAnsi="Arial" w:cs="Arial"/>
          <w:szCs w:val="24"/>
        </w:rPr>
        <w:t xml:space="preserve">related </w:t>
      </w:r>
      <w:r w:rsidRPr="00726E7F">
        <w:rPr>
          <w:rFonts w:ascii="Arial" w:hAnsi="Arial" w:cs="Arial"/>
          <w:szCs w:val="24"/>
        </w:rPr>
        <w:t>accounting implications of COVID-19</w:t>
      </w:r>
      <w:r>
        <w:rPr>
          <w:rFonts w:ascii="Arial" w:hAnsi="Arial" w:cs="Arial"/>
          <w:szCs w:val="24"/>
        </w:rPr>
        <w:t xml:space="preserve"> and also </w:t>
      </w:r>
      <w:hyperlink r:id="rId20" w:history="1">
        <w:r w:rsidRPr="00726E7F">
          <w:rPr>
            <w:rStyle w:val="Hyperlink"/>
            <w:rFonts w:ascii="Arial" w:hAnsi="Arial" w:cs="Arial"/>
            <w:szCs w:val="24"/>
          </w:rPr>
          <w:t>noted</w:t>
        </w:r>
      </w:hyperlink>
      <w:r>
        <w:rPr>
          <w:rFonts w:ascii="Arial" w:hAnsi="Arial" w:cs="Arial"/>
          <w:szCs w:val="24"/>
        </w:rPr>
        <w:t xml:space="preserve"> that it had suspended its EU-wide stress test until 2021</w:t>
      </w:r>
      <w:r w:rsidR="00D85E0F">
        <w:rPr>
          <w:rFonts w:ascii="Arial" w:hAnsi="Arial" w:cs="Arial"/>
          <w:szCs w:val="24"/>
        </w:rPr>
        <w:t>and recommended NCAs adopt flexible approaches in response to the crisis.</w:t>
      </w:r>
    </w:p>
    <w:p w:rsidR="00726E7F" w:rsidRDefault="00726E7F" w:rsidP="00726E7F">
      <w:pPr>
        <w:spacing w:after="120" w:line="240" w:lineRule="auto"/>
        <w:rPr>
          <w:rFonts w:ascii="Arial" w:hAnsi="Arial" w:cs="Arial"/>
          <w:szCs w:val="24"/>
        </w:rPr>
      </w:pPr>
      <w:r w:rsidRPr="00D85E0F">
        <w:rPr>
          <w:rFonts w:ascii="Arial" w:hAnsi="Arial" w:cs="Arial"/>
          <w:b/>
          <w:szCs w:val="24"/>
        </w:rPr>
        <w:t>ESMA</w:t>
      </w:r>
      <w:r w:rsidRPr="00726E7F">
        <w:rPr>
          <w:rFonts w:ascii="Arial" w:hAnsi="Arial" w:cs="Arial"/>
          <w:szCs w:val="24"/>
        </w:rPr>
        <w:t xml:space="preserve"> </w:t>
      </w:r>
      <w:r w:rsidR="00D85E0F">
        <w:rPr>
          <w:rFonts w:ascii="Arial" w:hAnsi="Arial" w:cs="Arial"/>
          <w:szCs w:val="24"/>
        </w:rPr>
        <w:t xml:space="preserve">has </w:t>
      </w:r>
      <w:hyperlink r:id="rId21" w:history="1">
        <w:r w:rsidR="00D85E0F" w:rsidRPr="00D85E0F">
          <w:rPr>
            <w:rStyle w:val="Hyperlink"/>
            <w:rFonts w:ascii="Arial" w:hAnsi="Arial" w:cs="Arial"/>
            <w:szCs w:val="24"/>
          </w:rPr>
          <w:t>issued recommendations</w:t>
        </w:r>
      </w:hyperlink>
      <w:r w:rsidR="00D85E0F">
        <w:rPr>
          <w:rFonts w:ascii="Arial" w:hAnsi="Arial" w:cs="Arial"/>
          <w:szCs w:val="24"/>
        </w:rPr>
        <w:t xml:space="preserve"> to financial market participants relating to business continuity, market disclosure, financial reporting, and fund management, amongst other issues relating to the crisis. ESMA </w:t>
      </w:r>
      <w:r w:rsidRPr="00726E7F">
        <w:rPr>
          <w:rFonts w:ascii="Arial" w:hAnsi="Arial" w:cs="Arial"/>
          <w:szCs w:val="24"/>
        </w:rPr>
        <w:t xml:space="preserve">also issued a </w:t>
      </w:r>
      <w:hyperlink r:id="rId22" w:history="1">
        <w:r w:rsidRPr="00D85E0F">
          <w:rPr>
            <w:rStyle w:val="Hyperlink"/>
            <w:rFonts w:ascii="Arial" w:hAnsi="Arial" w:cs="Arial"/>
            <w:szCs w:val="24"/>
          </w:rPr>
          <w:t>statement</w:t>
        </w:r>
      </w:hyperlink>
      <w:r w:rsidRPr="00726E7F">
        <w:rPr>
          <w:rFonts w:ascii="Arial" w:hAnsi="Arial" w:cs="Arial"/>
          <w:szCs w:val="24"/>
        </w:rPr>
        <w:t xml:space="preserve"> on </w:t>
      </w:r>
      <w:r w:rsidR="00D85E0F">
        <w:rPr>
          <w:rFonts w:ascii="Arial" w:hAnsi="Arial" w:cs="Arial"/>
          <w:szCs w:val="24"/>
        </w:rPr>
        <w:t>“a</w:t>
      </w:r>
      <w:r w:rsidR="00D85E0F" w:rsidRPr="00D85E0F">
        <w:rPr>
          <w:rFonts w:ascii="Arial" w:hAnsi="Arial" w:cs="Arial"/>
          <w:szCs w:val="24"/>
        </w:rPr>
        <w:t>ccounting implications of the COVID-19 outbreak on the calculation of expected credit losses in accordance with IFRS 9</w:t>
      </w:r>
      <w:r w:rsidR="00D85E0F">
        <w:rPr>
          <w:rFonts w:ascii="Arial" w:hAnsi="Arial" w:cs="Arial"/>
          <w:szCs w:val="24"/>
        </w:rPr>
        <w:t>”</w:t>
      </w:r>
      <w:r w:rsidR="00BE3CD3">
        <w:rPr>
          <w:rFonts w:ascii="Arial" w:hAnsi="Arial" w:cs="Arial"/>
          <w:szCs w:val="24"/>
        </w:rPr>
        <w:t>.</w:t>
      </w:r>
    </w:p>
    <w:p w:rsidR="00BE3CD3" w:rsidRDefault="00BE3CD3" w:rsidP="00726E7F">
      <w:pPr>
        <w:spacing w:after="120" w:line="240" w:lineRule="auto"/>
        <w:rPr>
          <w:rFonts w:ascii="Arial" w:hAnsi="Arial" w:cs="Arial"/>
          <w:b/>
          <w:szCs w:val="24"/>
        </w:rPr>
      </w:pPr>
      <w:r w:rsidRPr="00BE3CD3">
        <w:rPr>
          <w:rFonts w:ascii="Arial" w:hAnsi="Arial" w:cs="Arial"/>
          <w:b/>
          <w:szCs w:val="24"/>
        </w:rPr>
        <w:t>EU Member States</w:t>
      </w:r>
    </w:p>
    <w:p w:rsidR="00BE3CD3" w:rsidRDefault="00BE3CD3" w:rsidP="00726E7F">
      <w:pPr>
        <w:spacing w:after="120" w:line="240" w:lineRule="auto"/>
        <w:rPr>
          <w:rFonts w:ascii="Arial" w:hAnsi="Arial" w:cs="Arial"/>
          <w:szCs w:val="24"/>
        </w:rPr>
      </w:pPr>
      <w:r>
        <w:rPr>
          <w:rFonts w:ascii="Arial" w:hAnsi="Arial" w:cs="Arial"/>
          <w:szCs w:val="24"/>
        </w:rPr>
        <w:t>While the European Council and other institutions of the EU have encouraged uniform approaches and provided coordination in a number of areas, notably on state aid measures as noted above, approaches by member states in response to the crisis have varied on a country-by-country basis.</w:t>
      </w:r>
    </w:p>
    <w:p w:rsidR="00BE3CD3" w:rsidRDefault="00F51EEA" w:rsidP="00726E7F">
      <w:pPr>
        <w:spacing w:after="120" w:line="240" w:lineRule="auto"/>
        <w:rPr>
          <w:rFonts w:ascii="Arial" w:hAnsi="Arial" w:cs="Arial"/>
          <w:szCs w:val="24"/>
        </w:rPr>
      </w:pPr>
      <w:r>
        <w:rPr>
          <w:rFonts w:ascii="Arial" w:hAnsi="Arial" w:cs="Arial"/>
          <w:szCs w:val="24"/>
        </w:rPr>
        <w:t xml:space="preserve">Information on selected public support schemes which have already been announced by member states are included below. </w:t>
      </w:r>
      <w:r w:rsidR="00BE3CD3">
        <w:rPr>
          <w:rFonts w:ascii="Arial" w:hAnsi="Arial" w:cs="Arial"/>
          <w:szCs w:val="24"/>
        </w:rPr>
        <w:t>ICISA i</w:t>
      </w:r>
      <w:r>
        <w:rPr>
          <w:rFonts w:ascii="Arial" w:hAnsi="Arial" w:cs="Arial"/>
          <w:szCs w:val="24"/>
        </w:rPr>
        <w:t>s also aware of discussions within other</w:t>
      </w:r>
      <w:r w:rsidR="00BE3CD3">
        <w:rPr>
          <w:rFonts w:ascii="Arial" w:hAnsi="Arial" w:cs="Arial"/>
          <w:szCs w:val="24"/>
        </w:rPr>
        <w:t xml:space="preserve"> member state</w:t>
      </w:r>
      <w:r>
        <w:rPr>
          <w:rFonts w:ascii="Arial" w:hAnsi="Arial" w:cs="Arial"/>
          <w:szCs w:val="24"/>
        </w:rPr>
        <w:t>s</w:t>
      </w:r>
      <w:r w:rsidR="00BE3CD3">
        <w:rPr>
          <w:rFonts w:ascii="Arial" w:hAnsi="Arial" w:cs="Arial"/>
          <w:szCs w:val="24"/>
        </w:rPr>
        <w:t xml:space="preserve"> on s</w:t>
      </w:r>
      <w:r>
        <w:rPr>
          <w:rFonts w:ascii="Arial" w:hAnsi="Arial" w:cs="Arial"/>
          <w:szCs w:val="24"/>
        </w:rPr>
        <w:t>imilar</w:t>
      </w:r>
      <w:r w:rsidR="00BE3CD3">
        <w:rPr>
          <w:rFonts w:ascii="Arial" w:hAnsi="Arial" w:cs="Arial"/>
          <w:szCs w:val="24"/>
        </w:rPr>
        <w:t xml:space="preserve"> support schemes</w:t>
      </w:r>
      <w:r w:rsidR="00C945E3">
        <w:rPr>
          <w:rFonts w:ascii="Arial" w:hAnsi="Arial" w:cs="Arial"/>
          <w:szCs w:val="24"/>
        </w:rPr>
        <w:t xml:space="preserve"> which may be introduced</w:t>
      </w:r>
      <w:r w:rsidR="00BE3CD3">
        <w:rPr>
          <w:rFonts w:ascii="Arial" w:hAnsi="Arial" w:cs="Arial"/>
          <w:szCs w:val="24"/>
        </w:rPr>
        <w:t xml:space="preserve"> </w:t>
      </w:r>
      <w:r>
        <w:rPr>
          <w:rFonts w:ascii="Arial" w:hAnsi="Arial" w:cs="Arial"/>
          <w:szCs w:val="24"/>
        </w:rPr>
        <w:t>in</w:t>
      </w:r>
      <w:r w:rsidR="00C945E3">
        <w:rPr>
          <w:rFonts w:ascii="Arial" w:hAnsi="Arial" w:cs="Arial"/>
          <w:szCs w:val="24"/>
        </w:rPr>
        <w:t xml:space="preserve"> support of </w:t>
      </w:r>
      <w:r>
        <w:rPr>
          <w:rFonts w:ascii="Arial" w:hAnsi="Arial" w:cs="Arial"/>
          <w:szCs w:val="24"/>
        </w:rPr>
        <w:t xml:space="preserve">maintaining </w:t>
      </w:r>
      <w:r w:rsidR="00C945E3">
        <w:rPr>
          <w:rFonts w:ascii="Arial" w:hAnsi="Arial" w:cs="Arial"/>
          <w:szCs w:val="24"/>
        </w:rPr>
        <w:t>short-term credit insurance</w:t>
      </w:r>
      <w:r>
        <w:rPr>
          <w:rFonts w:ascii="Arial" w:hAnsi="Arial" w:cs="Arial"/>
          <w:szCs w:val="24"/>
        </w:rPr>
        <w:t>,</w:t>
      </w:r>
      <w:r w:rsidR="00BE3CD3">
        <w:rPr>
          <w:rFonts w:ascii="Arial" w:hAnsi="Arial" w:cs="Arial"/>
          <w:szCs w:val="24"/>
        </w:rPr>
        <w:t xml:space="preserve"> in addition to the measures announced by DG Comp on marketable risks on </w:t>
      </w:r>
      <w:hyperlink r:id="rId23" w:history="1">
        <w:r w:rsidR="00BE3CD3" w:rsidRPr="00C945E3">
          <w:rPr>
            <w:rStyle w:val="Hyperlink"/>
            <w:rFonts w:ascii="Arial" w:hAnsi="Arial" w:cs="Arial"/>
            <w:szCs w:val="24"/>
          </w:rPr>
          <w:t>27 March 2020</w:t>
        </w:r>
      </w:hyperlink>
      <w:r w:rsidR="00BE3CD3">
        <w:rPr>
          <w:rFonts w:ascii="Arial" w:hAnsi="Arial" w:cs="Arial"/>
          <w:szCs w:val="24"/>
        </w:rPr>
        <w:t>.</w:t>
      </w:r>
      <w:r w:rsidR="00C945E3">
        <w:rPr>
          <w:rFonts w:ascii="Arial" w:hAnsi="Arial" w:cs="Arial"/>
          <w:szCs w:val="24"/>
        </w:rPr>
        <w:t xml:space="preserve"> Such conversations are developing rapidly within markets and further details on these may not be available until they are publicly announced.</w:t>
      </w:r>
      <w:r w:rsidR="008E2ED1">
        <w:rPr>
          <w:rFonts w:ascii="Arial" w:hAnsi="Arial" w:cs="Arial"/>
          <w:szCs w:val="24"/>
        </w:rPr>
        <w:t xml:space="preserve"> </w:t>
      </w:r>
    </w:p>
    <w:p w:rsidR="008E2ED1" w:rsidRPr="004B0BC1" w:rsidRDefault="008E2ED1" w:rsidP="008E2ED1">
      <w:pPr>
        <w:pStyle w:val="ListParagraph"/>
        <w:numPr>
          <w:ilvl w:val="0"/>
          <w:numId w:val="12"/>
        </w:numPr>
        <w:spacing w:after="120" w:line="240" w:lineRule="auto"/>
        <w:rPr>
          <w:rFonts w:ascii="Arial" w:hAnsi="Arial" w:cs="Arial"/>
          <w:b/>
          <w:szCs w:val="24"/>
        </w:rPr>
      </w:pPr>
      <w:r w:rsidRPr="008E2ED1">
        <w:rPr>
          <w:rFonts w:ascii="Arial" w:hAnsi="Arial" w:cs="Arial"/>
          <w:b/>
          <w:szCs w:val="24"/>
        </w:rPr>
        <w:t>France</w:t>
      </w:r>
      <w:r>
        <w:rPr>
          <w:rFonts w:ascii="Arial" w:hAnsi="Arial" w:cs="Arial"/>
          <w:b/>
          <w:szCs w:val="24"/>
        </w:rPr>
        <w:t xml:space="preserve"> </w:t>
      </w:r>
      <w:r w:rsidR="00415CA5">
        <w:rPr>
          <w:rFonts w:ascii="Arial" w:hAnsi="Arial" w:cs="Arial"/>
          <w:b/>
          <w:szCs w:val="24"/>
        </w:rPr>
        <w:t>–</w:t>
      </w:r>
      <w:r>
        <w:rPr>
          <w:rFonts w:ascii="Arial" w:hAnsi="Arial" w:cs="Arial"/>
          <w:b/>
          <w:szCs w:val="24"/>
        </w:rPr>
        <w:t xml:space="preserve"> </w:t>
      </w:r>
      <w:r w:rsidR="00415CA5">
        <w:rPr>
          <w:rFonts w:ascii="Arial" w:hAnsi="Arial" w:cs="Arial"/>
          <w:szCs w:val="24"/>
        </w:rPr>
        <w:t>On 10 April 2020, the</w:t>
      </w:r>
      <w:r w:rsidRPr="008E2ED1">
        <w:rPr>
          <w:rFonts w:ascii="Arial" w:hAnsi="Arial" w:cs="Arial"/>
          <w:szCs w:val="24"/>
        </w:rPr>
        <w:t xml:space="preserve"> French government </w:t>
      </w:r>
      <w:hyperlink r:id="rId24" w:history="1">
        <w:r w:rsidRPr="00415CA5">
          <w:rPr>
            <w:rStyle w:val="Hyperlink"/>
            <w:rFonts w:ascii="Arial" w:hAnsi="Arial" w:cs="Arial"/>
            <w:szCs w:val="24"/>
          </w:rPr>
          <w:t>introduce</w:t>
        </w:r>
        <w:r w:rsidR="00F421C4" w:rsidRPr="00415CA5">
          <w:rPr>
            <w:rStyle w:val="Hyperlink"/>
            <w:rFonts w:ascii="Arial" w:hAnsi="Arial" w:cs="Arial"/>
            <w:szCs w:val="24"/>
          </w:rPr>
          <w:t>d</w:t>
        </w:r>
      </w:hyperlink>
      <w:r w:rsidRPr="00F421C4">
        <w:rPr>
          <w:rFonts w:ascii="Arial" w:hAnsi="Arial" w:cs="Arial"/>
          <w:szCs w:val="24"/>
        </w:rPr>
        <w:t xml:space="preserve"> a</w:t>
      </w:r>
      <w:r w:rsidR="00415CA5">
        <w:rPr>
          <w:rFonts w:ascii="Arial" w:hAnsi="Arial" w:cs="Arial"/>
          <w:szCs w:val="24"/>
        </w:rPr>
        <w:t xml:space="preserve"> public reinsurance arrangement worth up to </w:t>
      </w:r>
      <w:r w:rsidR="00415CA5" w:rsidRPr="008E2ED1">
        <w:rPr>
          <w:rFonts w:ascii="Arial" w:hAnsi="Arial" w:cs="Arial"/>
          <w:szCs w:val="24"/>
        </w:rPr>
        <w:t>€1</w:t>
      </w:r>
      <w:r w:rsidR="00415CA5">
        <w:rPr>
          <w:rFonts w:ascii="Arial" w:hAnsi="Arial" w:cs="Arial"/>
          <w:szCs w:val="24"/>
        </w:rPr>
        <w:t>2 billion</w:t>
      </w:r>
      <w:r w:rsidRPr="00F421C4">
        <w:rPr>
          <w:rFonts w:ascii="Arial" w:hAnsi="Arial" w:cs="Arial"/>
          <w:szCs w:val="24"/>
        </w:rPr>
        <w:t xml:space="preserve"> for credit insurance</w:t>
      </w:r>
      <w:r w:rsidR="005272D1">
        <w:rPr>
          <w:rFonts w:ascii="Arial" w:hAnsi="Arial" w:cs="Arial"/>
          <w:szCs w:val="24"/>
        </w:rPr>
        <w:t>, which was approved by the European Commission on 14 April 2020</w:t>
      </w:r>
      <w:r w:rsidR="00415CA5">
        <w:rPr>
          <w:rFonts w:ascii="Arial" w:hAnsi="Arial" w:cs="Arial"/>
          <w:szCs w:val="24"/>
        </w:rPr>
        <w:t>. Th</w:t>
      </w:r>
      <w:r w:rsidR="005272D1">
        <w:rPr>
          <w:rFonts w:ascii="Arial" w:hAnsi="Arial" w:cs="Arial"/>
          <w:szCs w:val="24"/>
        </w:rPr>
        <w:t>e related guarantees are</w:t>
      </w:r>
      <w:r w:rsidR="00415CA5">
        <w:rPr>
          <w:rFonts w:ascii="Arial" w:hAnsi="Arial" w:cs="Arial"/>
          <w:szCs w:val="24"/>
        </w:rPr>
        <w:t xml:space="preserve"> distributed across Cap and Cap+ for domestic cover, and </w:t>
      </w:r>
      <w:proofErr w:type="spellStart"/>
      <w:r w:rsidR="00415CA5">
        <w:rPr>
          <w:rFonts w:ascii="Arial" w:hAnsi="Arial" w:cs="Arial"/>
          <w:szCs w:val="24"/>
        </w:rPr>
        <w:t>CapFranceExport</w:t>
      </w:r>
      <w:proofErr w:type="spellEnd"/>
      <w:r w:rsidR="00415CA5">
        <w:rPr>
          <w:rFonts w:ascii="Arial" w:hAnsi="Arial" w:cs="Arial"/>
          <w:szCs w:val="24"/>
        </w:rPr>
        <w:t xml:space="preserve"> for short term export credit insurance. </w:t>
      </w:r>
    </w:p>
    <w:p w:rsidR="00CD4B92" w:rsidRPr="00CD4B92" w:rsidRDefault="004B0BC1" w:rsidP="00CD4B92">
      <w:pPr>
        <w:pStyle w:val="ListParagraph"/>
        <w:numPr>
          <w:ilvl w:val="0"/>
          <w:numId w:val="12"/>
        </w:numPr>
        <w:spacing w:after="120" w:line="240" w:lineRule="auto"/>
        <w:rPr>
          <w:rFonts w:ascii="Arial" w:hAnsi="Arial" w:cs="Arial"/>
          <w:b/>
          <w:szCs w:val="24"/>
        </w:rPr>
      </w:pPr>
      <w:r>
        <w:rPr>
          <w:rFonts w:ascii="Arial" w:hAnsi="Arial" w:cs="Arial"/>
          <w:b/>
          <w:szCs w:val="24"/>
        </w:rPr>
        <w:t xml:space="preserve">Germany </w:t>
      </w:r>
      <w:r w:rsidR="00E71FC8">
        <w:rPr>
          <w:rFonts w:ascii="Arial" w:hAnsi="Arial" w:cs="Arial"/>
          <w:b/>
          <w:szCs w:val="24"/>
        </w:rPr>
        <w:t>–</w:t>
      </w:r>
      <w:r>
        <w:rPr>
          <w:rFonts w:ascii="Arial" w:hAnsi="Arial" w:cs="Arial"/>
          <w:b/>
          <w:szCs w:val="24"/>
        </w:rPr>
        <w:t xml:space="preserve"> </w:t>
      </w:r>
      <w:r w:rsidR="00E71FC8">
        <w:rPr>
          <w:rFonts w:ascii="Arial" w:hAnsi="Arial" w:cs="Arial"/>
          <w:szCs w:val="24"/>
        </w:rPr>
        <w:t xml:space="preserve">The German government </w:t>
      </w:r>
      <w:r w:rsidR="00EC4BD5">
        <w:rPr>
          <w:rFonts w:ascii="Arial" w:hAnsi="Arial" w:cs="Arial"/>
          <w:szCs w:val="24"/>
        </w:rPr>
        <w:t xml:space="preserve">has put in place a range of aid programmes to mitigate the impact of the Covid19 pandemic as part of the German </w:t>
      </w:r>
      <w:hyperlink r:id="rId25" w:history="1">
        <w:r w:rsidR="00EC4BD5" w:rsidRPr="002F2546">
          <w:rPr>
            <w:rStyle w:val="Hyperlink"/>
            <w:rFonts w:ascii="Arial" w:hAnsi="Arial" w:cs="Arial"/>
            <w:szCs w:val="24"/>
          </w:rPr>
          <w:t>“Corona protective shield”</w:t>
        </w:r>
      </w:hyperlink>
      <w:r w:rsidR="00D841A4">
        <w:rPr>
          <w:rFonts w:ascii="Arial" w:hAnsi="Arial" w:cs="Arial"/>
          <w:szCs w:val="24"/>
        </w:rPr>
        <w:t>, including state-backed guarantees for business loans and similar efforts to maintain liquidity in the real economy.</w:t>
      </w:r>
      <w:r w:rsidR="005272D1">
        <w:rPr>
          <w:rFonts w:ascii="Arial" w:hAnsi="Arial" w:cs="Arial"/>
          <w:szCs w:val="24"/>
        </w:rPr>
        <w:t xml:space="preserve"> The European Commission also approved </w:t>
      </w:r>
      <w:hyperlink r:id="rId26" w:history="1">
        <w:r w:rsidR="005272D1" w:rsidRPr="005272D1">
          <w:rPr>
            <w:rStyle w:val="Hyperlink"/>
            <w:rFonts w:ascii="Arial" w:hAnsi="Arial" w:cs="Arial"/>
            <w:szCs w:val="24"/>
          </w:rPr>
          <w:t>the German government’s support scheme for trade credit insurance</w:t>
        </w:r>
      </w:hyperlink>
      <w:r w:rsidR="005272D1">
        <w:rPr>
          <w:rFonts w:ascii="Arial" w:hAnsi="Arial" w:cs="Arial"/>
          <w:szCs w:val="24"/>
        </w:rPr>
        <w:t xml:space="preserve"> on 14 April 2020. The scheme provides reinsurance cover to credit insurers on the basis that cover will be maintained by the market. T</w:t>
      </w:r>
      <w:r w:rsidR="005272D1" w:rsidRPr="005272D1">
        <w:rPr>
          <w:rFonts w:ascii="Arial" w:hAnsi="Arial" w:cs="Arial"/>
          <w:szCs w:val="24"/>
        </w:rPr>
        <w:t xml:space="preserve">he </w:t>
      </w:r>
      <w:r w:rsidR="005272D1">
        <w:rPr>
          <w:rFonts w:ascii="Arial" w:hAnsi="Arial" w:cs="Arial"/>
          <w:szCs w:val="24"/>
        </w:rPr>
        <w:t>arrangement, which will see insurers pay a premium to the State</w:t>
      </w:r>
      <w:r w:rsidR="00070B3A">
        <w:rPr>
          <w:rFonts w:ascii="Arial" w:hAnsi="Arial" w:cs="Arial"/>
          <w:szCs w:val="24"/>
        </w:rPr>
        <w:t xml:space="preserve"> in return for it sharing in risks for the year</w:t>
      </w:r>
      <w:r w:rsidR="005272D1">
        <w:rPr>
          <w:rFonts w:ascii="Arial" w:hAnsi="Arial" w:cs="Arial"/>
          <w:szCs w:val="24"/>
        </w:rPr>
        <w:t xml:space="preserve">, </w:t>
      </w:r>
      <w:r w:rsidR="005272D1" w:rsidRPr="005272D1">
        <w:rPr>
          <w:rFonts w:ascii="Arial" w:hAnsi="Arial" w:cs="Arial"/>
          <w:szCs w:val="24"/>
        </w:rPr>
        <w:t xml:space="preserve">ensures </w:t>
      </w:r>
      <w:r w:rsidR="005272D1">
        <w:rPr>
          <w:rFonts w:ascii="Arial" w:hAnsi="Arial" w:cs="Arial"/>
          <w:szCs w:val="24"/>
        </w:rPr>
        <w:t xml:space="preserve">support </w:t>
      </w:r>
      <w:r w:rsidR="005272D1" w:rsidRPr="005272D1">
        <w:rPr>
          <w:rFonts w:ascii="Arial" w:hAnsi="Arial" w:cs="Arial"/>
          <w:szCs w:val="24"/>
        </w:rPr>
        <w:t>up to a volume of €5 billion, and provides an additional safety-net to cover up to €30 billion in total if require</w:t>
      </w:r>
      <w:r w:rsidR="005272D1">
        <w:rPr>
          <w:rFonts w:ascii="Arial" w:hAnsi="Arial" w:cs="Arial"/>
          <w:szCs w:val="24"/>
        </w:rPr>
        <w:t>d.</w:t>
      </w:r>
    </w:p>
    <w:p w:rsidR="00415CA5" w:rsidRPr="00415CA5" w:rsidRDefault="002F2546" w:rsidP="008E2ED1">
      <w:pPr>
        <w:pStyle w:val="ListParagraph"/>
        <w:numPr>
          <w:ilvl w:val="0"/>
          <w:numId w:val="12"/>
        </w:numPr>
        <w:spacing w:after="120" w:line="240" w:lineRule="auto"/>
        <w:rPr>
          <w:rFonts w:ascii="Arial" w:hAnsi="Arial" w:cs="Arial"/>
          <w:b/>
          <w:szCs w:val="24"/>
        </w:rPr>
      </w:pPr>
      <w:r>
        <w:rPr>
          <w:rFonts w:ascii="Arial" w:hAnsi="Arial" w:cs="Arial"/>
          <w:b/>
          <w:szCs w:val="24"/>
        </w:rPr>
        <w:t xml:space="preserve">UK – </w:t>
      </w:r>
      <w:r>
        <w:rPr>
          <w:rFonts w:ascii="Arial" w:hAnsi="Arial" w:cs="Arial"/>
          <w:szCs w:val="24"/>
        </w:rPr>
        <w:t xml:space="preserve">The British government </w:t>
      </w:r>
      <w:hyperlink r:id="rId27" w:history="1">
        <w:r w:rsidRPr="002F2546">
          <w:rPr>
            <w:rStyle w:val="Hyperlink"/>
            <w:rFonts w:ascii="Arial" w:hAnsi="Arial" w:cs="Arial"/>
            <w:szCs w:val="24"/>
          </w:rPr>
          <w:t>instituted a number of packages</w:t>
        </w:r>
      </w:hyperlink>
      <w:r>
        <w:rPr>
          <w:rFonts w:ascii="Arial" w:hAnsi="Arial" w:cs="Arial"/>
          <w:szCs w:val="24"/>
        </w:rPr>
        <w:t xml:space="preserve"> aimed at mitigating the impact of the pandemic on business and individuals. This has included setting up a “Coronavirus Business Interruption Loan Scheme” to provide guarantees on loan facilities to SMES, as well as delivering direct grant funding to affected firms. The UK joined EU member by </w:t>
      </w:r>
      <w:hyperlink r:id="rId28" w:history="1">
        <w:r w:rsidRPr="002F2546">
          <w:rPr>
            <w:rStyle w:val="Hyperlink"/>
            <w:rFonts w:ascii="Arial" w:hAnsi="Arial" w:cs="Arial"/>
            <w:szCs w:val="24"/>
          </w:rPr>
          <w:t>expanding the scope of cover</w:t>
        </w:r>
      </w:hyperlink>
      <w:r>
        <w:rPr>
          <w:rFonts w:ascii="Arial" w:hAnsi="Arial" w:cs="Arial"/>
          <w:szCs w:val="24"/>
        </w:rPr>
        <w:t xml:space="preserve"> provided by UK Export Finance to include developed markets, such as EU member states, the USA, Australia and others.</w:t>
      </w:r>
      <w:r w:rsidR="00415CA5">
        <w:rPr>
          <w:rFonts w:ascii="Arial" w:hAnsi="Arial" w:cs="Arial"/>
          <w:szCs w:val="24"/>
        </w:rPr>
        <w:t xml:space="preserve"> The UK insurance industry has proposed a public scheme in line with examples elsewhere which could see the state providing reinsurance in the form of a stop-loss or quota share arrangement.</w:t>
      </w:r>
    </w:p>
    <w:p w:rsidR="0055319E" w:rsidRPr="008E2ED1" w:rsidRDefault="00415CA5" w:rsidP="008E2ED1">
      <w:pPr>
        <w:pStyle w:val="ListParagraph"/>
        <w:numPr>
          <w:ilvl w:val="0"/>
          <w:numId w:val="12"/>
        </w:numPr>
        <w:spacing w:after="120" w:line="240" w:lineRule="auto"/>
        <w:rPr>
          <w:rFonts w:ascii="Arial" w:hAnsi="Arial" w:cs="Arial"/>
          <w:b/>
          <w:szCs w:val="24"/>
        </w:rPr>
      </w:pPr>
      <w:r>
        <w:rPr>
          <w:rFonts w:ascii="Arial" w:hAnsi="Arial" w:cs="Arial"/>
          <w:b/>
          <w:szCs w:val="24"/>
        </w:rPr>
        <w:t xml:space="preserve">Netherlands  - </w:t>
      </w:r>
      <w:r>
        <w:rPr>
          <w:rFonts w:ascii="Arial" w:hAnsi="Arial" w:cs="Arial"/>
          <w:szCs w:val="24"/>
        </w:rPr>
        <w:t xml:space="preserve">The Dutch government </w:t>
      </w:r>
      <w:hyperlink r:id="rId29" w:history="1">
        <w:r w:rsidRPr="005D0455">
          <w:rPr>
            <w:rStyle w:val="Hyperlink"/>
            <w:rFonts w:ascii="Arial" w:hAnsi="Arial" w:cs="Arial"/>
            <w:szCs w:val="24"/>
          </w:rPr>
          <w:t xml:space="preserve">announced </w:t>
        </w:r>
        <w:r w:rsidR="005D0455" w:rsidRPr="005D0455">
          <w:rPr>
            <w:rStyle w:val="Hyperlink"/>
            <w:rFonts w:ascii="Arial" w:hAnsi="Arial" w:cs="Arial"/>
            <w:szCs w:val="24"/>
          </w:rPr>
          <w:t xml:space="preserve">on 7 April 2020 </w:t>
        </w:r>
        <w:r w:rsidRPr="005D0455">
          <w:rPr>
            <w:rStyle w:val="Hyperlink"/>
            <w:rFonts w:ascii="Arial" w:hAnsi="Arial" w:cs="Arial"/>
            <w:szCs w:val="24"/>
          </w:rPr>
          <w:t>its intention</w:t>
        </w:r>
      </w:hyperlink>
      <w:r w:rsidR="005D0455">
        <w:rPr>
          <w:rFonts w:ascii="Arial" w:hAnsi="Arial" w:cs="Arial"/>
          <w:szCs w:val="24"/>
        </w:rPr>
        <w:t xml:space="preserve"> </w:t>
      </w:r>
      <w:r>
        <w:rPr>
          <w:rFonts w:ascii="Arial" w:hAnsi="Arial" w:cs="Arial"/>
          <w:szCs w:val="24"/>
        </w:rPr>
        <w:t>to introduce measures to support the continuation of trade credit cover in response to the Covid-19 pandemic.</w:t>
      </w:r>
    </w:p>
    <w:p w:rsidR="00C945E3" w:rsidRDefault="00C945E3" w:rsidP="00726E7F">
      <w:pPr>
        <w:spacing w:after="120" w:line="240" w:lineRule="auto"/>
        <w:rPr>
          <w:rFonts w:ascii="Arial" w:hAnsi="Arial" w:cs="Arial"/>
          <w:szCs w:val="24"/>
        </w:rPr>
      </w:pPr>
      <w:r>
        <w:rPr>
          <w:rFonts w:ascii="Arial" w:hAnsi="Arial" w:cs="Arial"/>
          <w:szCs w:val="24"/>
        </w:rPr>
        <w:t xml:space="preserve">Various wider support schemes of different scales have </w:t>
      </w:r>
      <w:r w:rsidR="00F51EEA">
        <w:rPr>
          <w:rFonts w:ascii="Arial" w:hAnsi="Arial" w:cs="Arial"/>
          <w:szCs w:val="24"/>
        </w:rPr>
        <w:t xml:space="preserve">also </w:t>
      </w:r>
      <w:r>
        <w:rPr>
          <w:rFonts w:ascii="Arial" w:hAnsi="Arial" w:cs="Arial"/>
          <w:szCs w:val="24"/>
        </w:rPr>
        <w:t xml:space="preserve">been adopted across member states which are aimed at supporting businesses which have been forced to close or significantly reduce activities in response to the pandemic. These have included loans, direct payments, deferral of tax payments, amongst other measures. Nationalisation schemes have also been discussed in a number of member states for industries considered particularly vulnerable to the fallout from the continued lockdown, such as the airline industry. </w:t>
      </w:r>
    </w:p>
    <w:p w:rsidR="00B5372C" w:rsidRDefault="00B5372C" w:rsidP="00726E7F">
      <w:pPr>
        <w:spacing w:after="120" w:line="240" w:lineRule="auto"/>
        <w:rPr>
          <w:rFonts w:ascii="Arial" w:hAnsi="Arial" w:cs="Arial"/>
          <w:szCs w:val="24"/>
        </w:rPr>
      </w:pPr>
      <w:r>
        <w:rPr>
          <w:rFonts w:ascii="Arial" w:hAnsi="Arial" w:cs="Arial"/>
          <w:szCs w:val="24"/>
        </w:rPr>
        <w:t xml:space="preserve">Further information on specific schemes introduced by member states following the relaxation of state aid rules can be viewed on a country-by-country basis on the </w:t>
      </w:r>
      <w:hyperlink r:id="rId30" w:history="1">
        <w:r w:rsidRPr="00B5372C">
          <w:rPr>
            <w:rStyle w:val="Hyperlink"/>
            <w:rFonts w:ascii="Arial" w:hAnsi="Arial" w:cs="Arial"/>
            <w:szCs w:val="24"/>
          </w:rPr>
          <w:t>website of DG COMP (European Commission)</w:t>
        </w:r>
      </w:hyperlink>
      <w:r>
        <w:rPr>
          <w:rFonts w:ascii="Arial" w:hAnsi="Arial" w:cs="Arial"/>
          <w:szCs w:val="24"/>
        </w:rPr>
        <w:t>.</w:t>
      </w:r>
    </w:p>
    <w:p w:rsidR="0050149A" w:rsidRDefault="0050149A" w:rsidP="00726E7F">
      <w:pPr>
        <w:spacing w:after="120" w:line="240" w:lineRule="auto"/>
        <w:rPr>
          <w:rFonts w:ascii="Arial" w:hAnsi="Arial" w:cs="Arial"/>
          <w:b/>
          <w:szCs w:val="24"/>
        </w:rPr>
      </w:pPr>
      <w:r w:rsidRPr="0050149A">
        <w:rPr>
          <w:rFonts w:ascii="Arial" w:hAnsi="Arial" w:cs="Arial"/>
          <w:b/>
          <w:szCs w:val="24"/>
        </w:rPr>
        <w:t>USA</w:t>
      </w:r>
    </w:p>
    <w:p w:rsidR="00534523" w:rsidRDefault="0050149A" w:rsidP="00534523">
      <w:pPr>
        <w:spacing w:after="120" w:line="240" w:lineRule="auto"/>
        <w:rPr>
          <w:rFonts w:ascii="Arial" w:hAnsi="Arial" w:cs="Arial"/>
          <w:bCs/>
          <w:szCs w:val="24"/>
        </w:rPr>
      </w:pPr>
      <w:r>
        <w:rPr>
          <w:rFonts w:ascii="Arial" w:hAnsi="Arial" w:cs="Arial"/>
          <w:szCs w:val="24"/>
        </w:rPr>
        <w:t xml:space="preserve">The US introduced the </w:t>
      </w:r>
      <w:r w:rsidRPr="0050149A">
        <w:rPr>
          <w:rFonts w:ascii="Arial" w:hAnsi="Arial" w:cs="Arial"/>
          <w:bCs/>
          <w:szCs w:val="24"/>
        </w:rPr>
        <w:t>Coronavirus Aid, Relief, and Economic Security Act (</w:t>
      </w:r>
      <w:hyperlink r:id="rId31" w:history="1">
        <w:r w:rsidRPr="00E64208">
          <w:rPr>
            <w:rStyle w:val="Hyperlink"/>
            <w:rFonts w:ascii="Arial" w:hAnsi="Arial" w:cs="Arial"/>
            <w:bCs/>
            <w:szCs w:val="24"/>
          </w:rPr>
          <w:t>CARES Act</w:t>
        </w:r>
      </w:hyperlink>
      <w:r w:rsidRPr="0050149A">
        <w:rPr>
          <w:rFonts w:ascii="Arial" w:hAnsi="Arial" w:cs="Arial"/>
          <w:bCs/>
          <w:szCs w:val="24"/>
        </w:rPr>
        <w:t>)</w:t>
      </w:r>
      <w:r>
        <w:rPr>
          <w:rFonts w:ascii="Arial" w:hAnsi="Arial" w:cs="Arial"/>
          <w:bCs/>
          <w:szCs w:val="24"/>
        </w:rPr>
        <w:t xml:space="preserve"> on 19 March 2020 which, amongst other measures, authoris</w:t>
      </w:r>
      <w:r w:rsidRPr="0050149A">
        <w:rPr>
          <w:rFonts w:ascii="Arial" w:hAnsi="Arial" w:cs="Arial"/>
          <w:bCs/>
          <w:szCs w:val="24"/>
        </w:rPr>
        <w:t>es emergency loans to distressed businesses, including air carriers, and suspen</w:t>
      </w:r>
      <w:r w:rsidR="00E64208">
        <w:rPr>
          <w:rFonts w:ascii="Arial" w:hAnsi="Arial" w:cs="Arial"/>
          <w:bCs/>
          <w:szCs w:val="24"/>
        </w:rPr>
        <w:t>ds, defers due dates or provides rebates to individuals in relation to certain taxes</w:t>
      </w:r>
      <w:r w:rsidR="00534523">
        <w:rPr>
          <w:rFonts w:ascii="Arial" w:hAnsi="Arial" w:cs="Arial"/>
          <w:bCs/>
          <w:szCs w:val="24"/>
        </w:rPr>
        <w:t>. Other recent developments include:</w:t>
      </w:r>
    </w:p>
    <w:p w:rsidR="00957345" w:rsidRDefault="00534523" w:rsidP="00957345">
      <w:pPr>
        <w:pStyle w:val="ListParagraph"/>
        <w:numPr>
          <w:ilvl w:val="0"/>
          <w:numId w:val="14"/>
        </w:numPr>
        <w:spacing w:after="120" w:line="240" w:lineRule="auto"/>
        <w:rPr>
          <w:rFonts w:ascii="Arial" w:hAnsi="Arial" w:cs="Arial"/>
          <w:bCs/>
          <w:szCs w:val="24"/>
        </w:rPr>
      </w:pPr>
      <w:r>
        <w:rPr>
          <w:rFonts w:ascii="Arial" w:hAnsi="Arial" w:cs="Arial"/>
          <w:bCs/>
          <w:szCs w:val="24"/>
        </w:rPr>
        <w:t xml:space="preserve">On 6 April 2020, </w:t>
      </w:r>
      <w:r w:rsidR="00957345">
        <w:rPr>
          <w:rFonts w:ascii="Arial" w:hAnsi="Arial" w:cs="Arial"/>
          <w:bCs/>
          <w:szCs w:val="24"/>
        </w:rPr>
        <w:t xml:space="preserve">in response to the restrictions imposed by the pandemic, </w:t>
      </w:r>
      <w:hyperlink r:id="rId32" w:history="1">
        <w:r w:rsidRPr="00957345">
          <w:rPr>
            <w:rStyle w:val="Hyperlink"/>
            <w:rFonts w:ascii="Arial" w:hAnsi="Arial" w:cs="Arial"/>
            <w:bCs/>
            <w:szCs w:val="24"/>
          </w:rPr>
          <w:t>the General Services Administration approved a class deviation</w:t>
        </w:r>
      </w:hyperlink>
      <w:r w:rsidRPr="00534523">
        <w:rPr>
          <w:rFonts w:ascii="Arial" w:hAnsi="Arial" w:cs="Arial"/>
          <w:bCs/>
          <w:szCs w:val="24"/>
        </w:rPr>
        <w:t xml:space="preserve"> from </w:t>
      </w:r>
      <w:r w:rsidRPr="00957345">
        <w:rPr>
          <w:rFonts w:ascii="Arial" w:hAnsi="Arial" w:cs="Arial"/>
          <w:b/>
          <w:bCs/>
          <w:szCs w:val="24"/>
        </w:rPr>
        <w:t xml:space="preserve">the Federal Acquisition Regulation (FAR) </w:t>
      </w:r>
      <w:r w:rsidRPr="00957345">
        <w:rPr>
          <w:rFonts w:ascii="Arial" w:hAnsi="Arial" w:cs="Arial"/>
          <w:bCs/>
          <w:szCs w:val="24"/>
        </w:rPr>
        <w:t xml:space="preserve">and </w:t>
      </w:r>
      <w:r w:rsidRPr="00957345">
        <w:rPr>
          <w:rFonts w:ascii="Arial" w:hAnsi="Arial" w:cs="Arial"/>
          <w:b/>
          <w:bCs/>
          <w:szCs w:val="24"/>
        </w:rPr>
        <w:t>General Services Acquisition Regulation (GSAR)</w:t>
      </w:r>
      <w:r w:rsidRPr="00534523">
        <w:rPr>
          <w:rFonts w:ascii="Arial" w:hAnsi="Arial" w:cs="Arial"/>
          <w:bCs/>
          <w:szCs w:val="24"/>
        </w:rPr>
        <w:t xml:space="preserve"> to allow vendors and sureties the use of electronic signatures in lieu of manual signatures and</w:t>
      </w:r>
      <w:r>
        <w:rPr>
          <w:rFonts w:ascii="Arial" w:hAnsi="Arial" w:cs="Arial"/>
          <w:bCs/>
          <w:szCs w:val="24"/>
        </w:rPr>
        <w:t xml:space="preserve"> eliminated</w:t>
      </w:r>
      <w:r w:rsidRPr="00534523">
        <w:rPr>
          <w:rFonts w:ascii="Arial" w:hAnsi="Arial" w:cs="Arial"/>
          <w:bCs/>
          <w:szCs w:val="24"/>
        </w:rPr>
        <w:t xml:space="preserve"> the requirement for any seals for bonds.</w:t>
      </w:r>
      <w:r w:rsidR="00957345">
        <w:rPr>
          <w:rFonts w:ascii="Arial" w:hAnsi="Arial" w:cs="Arial"/>
          <w:bCs/>
          <w:szCs w:val="24"/>
        </w:rPr>
        <w:t xml:space="preserve"> The approval is effective from the date it was published until such point that it is rescinded or incorporated into the GSAR and FAR. Further information on actions taken under the FAR in response to the Covid-19 pandemic can be viewed </w:t>
      </w:r>
      <w:hyperlink r:id="rId33" w:history="1">
        <w:r w:rsidR="00957345" w:rsidRPr="00957345">
          <w:rPr>
            <w:rStyle w:val="Hyperlink"/>
            <w:rFonts w:ascii="Arial" w:hAnsi="Arial" w:cs="Arial"/>
            <w:bCs/>
            <w:szCs w:val="24"/>
          </w:rPr>
          <w:t>here</w:t>
        </w:r>
      </w:hyperlink>
      <w:r w:rsidR="00957345">
        <w:rPr>
          <w:rFonts w:ascii="Arial" w:hAnsi="Arial" w:cs="Arial"/>
          <w:bCs/>
          <w:szCs w:val="24"/>
        </w:rPr>
        <w:t>.</w:t>
      </w:r>
    </w:p>
    <w:p w:rsidR="00957345" w:rsidRPr="00957345" w:rsidRDefault="00957345" w:rsidP="00957345">
      <w:pPr>
        <w:pStyle w:val="ListParagraph"/>
        <w:numPr>
          <w:ilvl w:val="0"/>
          <w:numId w:val="14"/>
        </w:numPr>
        <w:spacing w:after="120" w:line="240" w:lineRule="auto"/>
        <w:rPr>
          <w:rFonts w:ascii="Arial" w:hAnsi="Arial" w:cs="Arial"/>
          <w:bCs/>
          <w:szCs w:val="24"/>
        </w:rPr>
      </w:pPr>
      <w:r>
        <w:rPr>
          <w:rFonts w:ascii="Arial" w:hAnsi="Arial" w:cs="Arial"/>
          <w:bCs/>
          <w:szCs w:val="24"/>
        </w:rPr>
        <w:t xml:space="preserve">On 3 March 2020, </w:t>
      </w:r>
      <w:r w:rsidRPr="00957345">
        <w:rPr>
          <w:rFonts w:ascii="Arial" w:hAnsi="Arial" w:cs="Arial"/>
          <w:b/>
          <w:bCs/>
          <w:szCs w:val="24"/>
        </w:rPr>
        <w:t>Ohio</w:t>
      </w:r>
      <w:r w:rsidR="00E07F83">
        <w:rPr>
          <w:rFonts w:ascii="Arial" w:hAnsi="Arial" w:cs="Arial"/>
          <w:b/>
          <w:bCs/>
          <w:szCs w:val="24"/>
        </w:rPr>
        <w:t xml:space="preserve"> </w:t>
      </w:r>
      <w:r w:rsidR="00E07F83">
        <w:rPr>
          <w:rFonts w:ascii="Arial" w:hAnsi="Arial" w:cs="Arial"/>
          <w:bCs/>
          <w:szCs w:val="24"/>
        </w:rPr>
        <w:t xml:space="preserve">Department of Transportation (DOT) </w:t>
      </w:r>
      <w:hyperlink r:id="rId34" w:history="1">
        <w:r w:rsidR="00E07F83" w:rsidRPr="00717319">
          <w:rPr>
            <w:rStyle w:val="Hyperlink"/>
            <w:rFonts w:ascii="Arial" w:hAnsi="Arial" w:cs="Arial"/>
            <w:bCs/>
            <w:szCs w:val="24"/>
          </w:rPr>
          <w:t xml:space="preserve">issued </w:t>
        </w:r>
        <w:r w:rsidR="00E07F83" w:rsidRPr="00717319">
          <w:rPr>
            <w:rStyle w:val="Hyperlink"/>
            <w:rFonts w:ascii="Arial" w:hAnsi="Arial" w:cs="Arial"/>
            <w:bCs/>
            <w:szCs w:val="24"/>
            <w:lang w:val="en-US"/>
          </w:rPr>
          <w:t xml:space="preserve">a </w:t>
        </w:r>
        <w:r w:rsidR="00717319" w:rsidRPr="00717319">
          <w:rPr>
            <w:rStyle w:val="Hyperlink"/>
            <w:rFonts w:ascii="Arial" w:hAnsi="Arial" w:cs="Arial"/>
            <w:bCs/>
            <w:szCs w:val="24"/>
            <w:lang w:val="en-US"/>
          </w:rPr>
          <w:t>public notice</w:t>
        </w:r>
      </w:hyperlink>
      <w:r w:rsidR="00E07F83" w:rsidRPr="00E07F83">
        <w:rPr>
          <w:rFonts w:ascii="Arial" w:hAnsi="Arial" w:cs="Arial"/>
          <w:bCs/>
          <w:szCs w:val="24"/>
          <w:lang w:val="en-US"/>
        </w:rPr>
        <w:t xml:space="preserve"> allowing for extensions of time for per</w:t>
      </w:r>
      <w:r w:rsidR="00E07F83">
        <w:rPr>
          <w:rFonts w:ascii="Arial" w:hAnsi="Arial" w:cs="Arial"/>
          <w:bCs/>
          <w:szCs w:val="24"/>
          <w:lang w:val="en-US"/>
        </w:rPr>
        <w:t xml:space="preserve">formance related delays due to the pandemic and if needed, </w:t>
      </w:r>
      <w:r w:rsidR="00E07F83" w:rsidRPr="00E07F83">
        <w:rPr>
          <w:rFonts w:ascii="Arial" w:hAnsi="Arial" w:cs="Arial"/>
          <w:bCs/>
          <w:szCs w:val="24"/>
          <w:lang w:val="en-US"/>
        </w:rPr>
        <w:t>allowing for termination</w:t>
      </w:r>
      <w:r w:rsidR="00E07F83">
        <w:rPr>
          <w:rFonts w:ascii="Arial" w:hAnsi="Arial" w:cs="Arial"/>
          <w:bCs/>
          <w:szCs w:val="24"/>
          <w:lang w:val="en-US"/>
        </w:rPr>
        <w:t>s for convenience</w:t>
      </w:r>
      <w:r w:rsidR="00E07F83" w:rsidRPr="00E07F83">
        <w:rPr>
          <w:rFonts w:ascii="Arial" w:hAnsi="Arial" w:cs="Arial"/>
          <w:bCs/>
          <w:szCs w:val="24"/>
          <w:lang w:val="en-US"/>
        </w:rPr>
        <w:t xml:space="preserve"> if </w:t>
      </w:r>
      <w:r w:rsidR="00E07F83">
        <w:rPr>
          <w:rFonts w:ascii="Arial" w:hAnsi="Arial" w:cs="Arial"/>
          <w:bCs/>
          <w:szCs w:val="24"/>
          <w:lang w:val="en-US"/>
        </w:rPr>
        <w:t>a</w:t>
      </w:r>
      <w:r w:rsidR="00E07F83" w:rsidRPr="00E07F83">
        <w:rPr>
          <w:rFonts w:ascii="Arial" w:hAnsi="Arial" w:cs="Arial"/>
          <w:bCs/>
          <w:szCs w:val="24"/>
          <w:lang w:val="en-US"/>
        </w:rPr>
        <w:t xml:space="preserve"> project is </w:t>
      </w:r>
      <w:r w:rsidR="00E07F83">
        <w:rPr>
          <w:rFonts w:ascii="Arial" w:hAnsi="Arial" w:cs="Arial"/>
          <w:bCs/>
          <w:szCs w:val="24"/>
          <w:lang w:val="en-US"/>
        </w:rPr>
        <w:t>further</w:t>
      </w:r>
      <w:r w:rsidR="00E07F83" w:rsidRPr="00E07F83">
        <w:rPr>
          <w:rFonts w:ascii="Arial" w:hAnsi="Arial" w:cs="Arial"/>
          <w:bCs/>
          <w:szCs w:val="24"/>
          <w:lang w:val="en-US"/>
        </w:rPr>
        <w:t xml:space="preserve"> delayed.</w:t>
      </w:r>
      <w:r w:rsidR="00E07F83">
        <w:rPr>
          <w:rFonts w:ascii="Arial" w:hAnsi="Arial" w:cs="Arial"/>
          <w:bCs/>
          <w:szCs w:val="24"/>
          <w:lang w:val="en-US"/>
        </w:rPr>
        <w:t xml:space="preserve"> A </w:t>
      </w:r>
      <w:hyperlink r:id="rId35" w:history="1">
        <w:r w:rsidR="00E07F83" w:rsidRPr="00E07F83">
          <w:rPr>
            <w:rStyle w:val="Hyperlink"/>
            <w:rFonts w:ascii="Arial" w:hAnsi="Arial" w:cs="Arial"/>
            <w:bCs/>
            <w:szCs w:val="24"/>
            <w:lang w:val="en-US"/>
          </w:rPr>
          <w:t xml:space="preserve">similar measure introduced by the </w:t>
        </w:r>
        <w:r w:rsidR="00E07F83" w:rsidRPr="00E07F83">
          <w:rPr>
            <w:rStyle w:val="Hyperlink"/>
            <w:rFonts w:ascii="Arial" w:hAnsi="Arial" w:cs="Arial"/>
            <w:b/>
            <w:bCs/>
            <w:szCs w:val="24"/>
            <w:lang w:val="en-US"/>
          </w:rPr>
          <w:t xml:space="preserve">Michigan </w:t>
        </w:r>
        <w:r w:rsidR="00E07F83" w:rsidRPr="00E07F83">
          <w:rPr>
            <w:rStyle w:val="Hyperlink"/>
            <w:rFonts w:ascii="Arial" w:hAnsi="Arial" w:cs="Arial"/>
            <w:bCs/>
            <w:szCs w:val="24"/>
            <w:lang w:val="en-US"/>
          </w:rPr>
          <w:t>DOT</w:t>
        </w:r>
      </w:hyperlink>
      <w:r w:rsidR="00717319">
        <w:rPr>
          <w:rFonts w:ascii="Arial" w:hAnsi="Arial" w:cs="Arial"/>
          <w:bCs/>
          <w:szCs w:val="24"/>
          <w:lang w:val="en-US"/>
        </w:rPr>
        <w:t xml:space="preserve"> was updated on 6</w:t>
      </w:r>
      <w:r w:rsidR="00E07F83">
        <w:rPr>
          <w:rFonts w:ascii="Arial" w:hAnsi="Arial" w:cs="Arial"/>
          <w:bCs/>
          <w:szCs w:val="24"/>
          <w:lang w:val="en-US"/>
        </w:rPr>
        <w:t xml:space="preserve"> April 2020 regarding </w:t>
      </w:r>
      <w:r w:rsidR="00717319">
        <w:rPr>
          <w:rFonts w:ascii="Arial" w:hAnsi="Arial" w:cs="Arial"/>
          <w:bCs/>
          <w:szCs w:val="24"/>
          <w:lang w:val="en-US"/>
        </w:rPr>
        <w:t>delays to infrastructure projects</w:t>
      </w:r>
      <w:r w:rsidR="00E07F83">
        <w:rPr>
          <w:rFonts w:ascii="Arial" w:hAnsi="Arial" w:cs="Arial"/>
          <w:bCs/>
          <w:szCs w:val="24"/>
          <w:lang w:val="en-US"/>
        </w:rPr>
        <w:t>, although it remains silent on terminations for convenience.</w:t>
      </w:r>
    </w:p>
    <w:p w:rsidR="0055319E" w:rsidRDefault="0055319E" w:rsidP="00726E7F">
      <w:pPr>
        <w:spacing w:after="120" w:line="240" w:lineRule="auto"/>
        <w:rPr>
          <w:rFonts w:ascii="Arial" w:hAnsi="Arial" w:cs="Arial"/>
          <w:b/>
          <w:bCs/>
          <w:szCs w:val="24"/>
        </w:rPr>
      </w:pPr>
      <w:r w:rsidRPr="0055319E">
        <w:rPr>
          <w:rFonts w:ascii="Arial" w:hAnsi="Arial" w:cs="Arial"/>
          <w:b/>
          <w:bCs/>
          <w:szCs w:val="24"/>
        </w:rPr>
        <w:t>Singapore</w:t>
      </w:r>
    </w:p>
    <w:p w:rsidR="0055319E" w:rsidRPr="0055319E" w:rsidRDefault="0055319E" w:rsidP="00726E7F">
      <w:pPr>
        <w:spacing w:after="120" w:line="240" w:lineRule="auto"/>
        <w:rPr>
          <w:rFonts w:ascii="Arial" w:hAnsi="Arial" w:cs="Arial"/>
          <w:bCs/>
          <w:szCs w:val="24"/>
        </w:rPr>
      </w:pPr>
      <w:r w:rsidRPr="0055319E">
        <w:rPr>
          <w:rFonts w:ascii="Arial" w:hAnsi="Arial" w:cs="Arial"/>
          <w:bCs/>
          <w:szCs w:val="24"/>
        </w:rPr>
        <w:t>On 31 March 2020, the Monetary Authority of Singapore (MAS) along with the Association of Banks in Singapore (ABS), the Life Insurance Association (LIA), the General Insurance Association (GIA), and the Finance Houses Association of Singapore (FHAS)</w:t>
      </w:r>
      <w:r>
        <w:rPr>
          <w:rFonts w:ascii="Arial" w:hAnsi="Arial" w:cs="Arial"/>
          <w:bCs/>
          <w:szCs w:val="24"/>
        </w:rPr>
        <w:t xml:space="preserve"> </w:t>
      </w:r>
      <w:hyperlink r:id="rId36" w:history="1">
        <w:r w:rsidRPr="0055319E">
          <w:rPr>
            <w:rStyle w:val="Hyperlink"/>
            <w:rFonts w:ascii="Arial" w:hAnsi="Arial" w:cs="Arial"/>
            <w:bCs/>
            <w:szCs w:val="24"/>
          </w:rPr>
          <w:t>announced a package of measures</w:t>
        </w:r>
      </w:hyperlink>
      <w:r>
        <w:rPr>
          <w:rFonts w:ascii="Arial" w:hAnsi="Arial" w:cs="Arial"/>
          <w:bCs/>
          <w:szCs w:val="24"/>
        </w:rPr>
        <w:t xml:space="preserve"> to support businesses and individuals facing financial strain as a result of the Covid-19 pandemic. In particular, this includes introducing instalment payment plans for premium payment of certain general insurance policies held by corporates, as well continued access to credit for businesses and options for deferred principal payment on secured term loans until the end of 2020.</w:t>
      </w:r>
    </w:p>
    <w:p w:rsidR="00FE1478" w:rsidRPr="008C45FB" w:rsidRDefault="008C45FB" w:rsidP="00726E7F">
      <w:pPr>
        <w:spacing w:before="120" w:after="120" w:line="360" w:lineRule="auto"/>
        <w:rPr>
          <w:rFonts w:ascii="Arial" w:hAnsi="Arial" w:cs="Arial"/>
          <w:b/>
          <w:szCs w:val="24"/>
        </w:rPr>
      </w:pPr>
      <w:r w:rsidRPr="00726E7F">
        <w:rPr>
          <w:rFonts w:ascii="Arial" w:hAnsi="Arial" w:cs="Arial"/>
          <w:b/>
          <w:szCs w:val="24"/>
        </w:rPr>
        <w:t>International Association of Insurance Supervisors (IAIS)</w:t>
      </w:r>
    </w:p>
    <w:p w:rsidR="008C45FB" w:rsidRDefault="008C45FB" w:rsidP="00726E7F">
      <w:pPr>
        <w:spacing w:after="120" w:line="240" w:lineRule="auto"/>
        <w:rPr>
          <w:rFonts w:ascii="Arial" w:hAnsi="Arial" w:cs="Arial"/>
          <w:szCs w:val="24"/>
        </w:rPr>
      </w:pPr>
      <w:r w:rsidRPr="008C45FB">
        <w:rPr>
          <w:rFonts w:ascii="Arial" w:hAnsi="Arial" w:cs="Arial"/>
          <w:szCs w:val="24"/>
        </w:rPr>
        <w:t xml:space="preserve">The </w:t>
      </w:r>
      <w:hyperlink r:id="rId37" w:history="1">
        <w:r w:rsidRPr="00726E7F">
          <w:rPr>
            <w:rStyle w:val="Hyperlink"/>
            <w:rFonts w:ascii="Arial" w:hAnsi="Arial" w:cs="Arial"/>
            <w:szCs w:val="24"/>
          </w:rPr>
          <w:t>IAIS noted</w:t>
        </w:r>
      </w:hyperlink>
      <w:r w:rsidRPr="008C45FB">
        <w:rPr>
          <w:rFonts w:ascii="Arial" w:hAnsi="Arial" w:cs="Arial"/>
          <w:szCs w:val="24"/>
        </w:rPr>
        <w:t xml:space="preserve"> its support for measures introduced by its members to support fair treatment of customers, including on disclosures and efficient claims processing. It also updated on</w:t>
      </w:r>
      <w:r>
        <w:rPr>
          <w:rFonts w:ascii="Arial" w:hAnsi="Arial" w:cs="Arial"/>
          <w:szCs w:val="24"/>
        </w:rPr>
        <w:t xml:space="preserve"> delays to its ongoing workstreams, including:</w:t>
      </w:r>
    </w:p>
    <w:p w:rsidR="008C45FB" w:rsidRPr="008C45FB" w:rsidRDefault="008C45FB" w:rsidP="00726E7F">
      <w:pPr>
        <w:numPr>
          <w:ilvl w:val="0"/>
          <w:numId w:val="10"/>
        </w:numPr>
        <w:spacing w:after="120" w:line="240" w:lineRule="auto"/>
        <w:rPr>
          <w:rFonts w:ascii="Arial" w:hAnsi="Arial" w:cs="Arial"/>
          <w:szCs w:val="24"/>
        </w:rPr>
      </w:pPr>
      <w:r>
        <w:rPr>
          <w:rFonts w:ascii="Arial" w:hAnsi="Arial" w:cs="Arial"/>
          <w:szCs w:val="24"/>
        </w:rPr>
        <w:t>planning to undertake</w:t>
      </w:r>
      <w:r w:rsidRPr="008C45FB">
        <w:rPr>
          <w:rFonts w:ascii="Arial" w:hAnsi="Arial" w:cs="Arial"/>
          <w:szCs w:val="24"/>
        </w:rPr>
        <w:t xml:space="preserve"> a targeted assessment of the impact of COVID-19 on the global insurance sector;</w:t>
      </w:r>
    </w:p>
    <w:p w:rsidR="008C45FB" w:rsidRPr="008C45FB" w:rsidRDefault="008C45FB" w:rsidP="00726E7F">
      <w:pPr>
        <w:numPr>
          <w:ilvl w:val="0"/>
          <w:numId w:val="10"/>
        </w:numPr>
        <w:spacing w:after="120" w:line="240" w:lineRule="auto"/>
        <w:rPr>
          <w:rFonts w:ascii="Arial" w:hAnsi="Arial" w:cs="Arial"/>
          <w:szCs w:val="24"/>
        </w:rPr>
      </w:pPr>
      <w:r>
        <w:rPr>
          <w:rFonts w:ascii="Arial" w:hAnsi="Arial" w:cs="Arial"/>
          <w:szCs w:val="24"/>
        </w:rPr>
        <w:t>reviewing</w:t>
      </w:r>
      <w:r w:rsidRPr="008C45FB">
        <w:rPr>
          <w:rFonts w:ascii="Arial" w:hAnsi="Arial" w:cs="Arial"/>
          <w:szCs w:val="24"/>
        </w:rPr>
        <w:t xml:space="preserve"> the 2020 timelines for the implementation of the Holistic Framework for the mitigation of systemic risk in the global insurance sector;</w:t>
      </w:r>
    </w:p>
    <w:p w:rsidR="008C45FB" w:rsidRDefault="008C45FB" w:rsidP="00726E7F">
      <w:pPr>
        <w:numPr>
          <w:ilvl w:val="0"/>
          <w:numId w:val="10"/>
        </w:numPr>
        <w:spacing w:after="120" w:line="240" w:lineRule="auto"/>
        <w:rPr>
          <w:rFonts w:ascii="Arial" w:hAnsi="Arial" w:cs="Arial"/>
          <w:szCs w:val="24"/>
        </w:rPr>
      </w:pPr>
      <w:r>
        <w:rPr>
          <w:rFonts w:ascii="Arial" w:hAnsi="Arial" w:cs="Arial"/>
          <w:szCs w:val="24"/>
        </w:rPr>
        <w:t>reviewing</w:t>
      </w:r>
      <w:r w:rsidRPr="008C45FB">
        <w:rPr>
          <w:rFonts w:ascii="Arial" w:hAnsi="Arial" w:cs="Arial"/>
          <w:szCs w:val="24"/>
        </w:rPr>
        <w:t xml:space="preserve"> and adjust</w:t>
      </w:r>
      <w:r>
        <w:rPr>
          <w:rFonts w:ascii="Arial" w:hAnsi="Arial" w:cs="Arial"/>
          <w:szCs w:val="24"/>
        </w:rPr>
        <w:t>ing</w:t>
      </w:r>
      <w:r w:rsidRPr="008C45FB">
        <w:rPr>
          <w:rFonts w:ascii="Arial" w:hAnsi="Arial" w:cs="Arial"/>
          <w:szCs w:val="24"/>
        </w:rPr>
        <w:t xml:space="preserve"> timelines for the data collection</w:t>
      </w:r>
      <w:r>
        <w:rPr>
          <w:rFonts w:ascii="Arial" w:hAnsi="Arial" w:cs="Arial"/>
          <w:szCs w:val="24"/>
        </w:rPr>
        <w:t xml:space="preserve"> exercise as part of the implementation of</w:t>
      </w:r>
      <w:r w:rsidRPr="008C45FB">
        <w:rPr>
          <w:rFonts w:ascii="Arial" w:hAnsi="Arial" w:cs="Arial"/>
          <w:szCs w:val="24"/>
        </w:rPr>
        <w:t xml:space="preserve"> Insurance Capital Standard (ICS) </w:t>
      </w:r>
      <w:r>
        <w:rPr>
          <w:rFonts w:ascii="Arial" w:hAnsi="Arial" w:cs="Arial"/>
          <w:szCs w:val="24"/>
        </w:rPr>
        <w:t>2.0</w:t>
      </w:r>
      <w:r w:rsidRPr="008C45FB">
        <w:rPr>
          <w:rFonts w:ascii="Arial" w:hAnsi="Arial" w:cs="Arial"/>
          <w:szCs w:val="24"/>
        </w:rPr>
        <w:t xml:space="preserve"> as well as the Aggregation Method (AM) data collection being supported by the IAIS</w:t>
      </w:r>
      <w:r>
        <w:rPr>
          <w:rFonts w:ascii="Arial" w:hAnsi="Arial" w:cs="Arial"/>
          <w:szCs w:val="24"/>
        </w:rPr>
        <w:t>. T</w:t>
      </w:r>
      <w:r w:rsidRPr="008C45FB">
        <w:rPr>
          <w:rFonts w:ascii="Arial" w:hAnsi="Arial" w:cs="Arial"/>
          <w:szCs w:val="24"/>
        </w:rPr>
        <w:t xml:space="preserve">he submission deadline will be extended to 31 October, to provide operational relief to participating insurers. </w:t>
      </w:r>
    </w:p>
    <w:p w:rsidR="008C45FB" w:rsidRDefault="008C45FB" w:rsidP="00726E7F">
      <w:pPr>
        <w:numPr>
          <w:ilvl w:val="0"/>
          <w:numId w:val="10"/>
        </w:numPr>
        <w:spacing w:after="120" w:line="240" w:lineRule="auto"/>
        <w:rPr>
          <w:rFonts w:ascii="Arial" w:hAnsi="Arial" w:cs="Arial"/>
          <w:szCs w:val="24"/>
        </w:rPr>
      </w:pPr>
      <w:r w:rsidRPr="008C45FB">
        <w:rPr>
          <w:rFonts w:ascii="Arial" w:hAnsi="Arial" w:cs="Arial"/>
          <w:szCs w:val="24"/>
        </w:rPr>
        <w:t>The IAIS will postpone development of supporting material (Issues Papers and Application Papers providing guidance on supervisory practices), with public consultations generally deferred by at least six months. </w:t>
      </w:r>
    </w:p>
    <w:p w:rsidR="008C5D8C" w:rsidRDefault="008C5D8C" w:rsidP="008C5D8C">
      <w:pPr>
        <w:spacing w:after="120" w:line="240" w:lineRule="auto"/>
        <w:rPr>
          <w:rFonts w:ascii="Arial" w:hAnsi="Arial" w:cs="Arial"/>
          <w:b/>
          <w:szCs w:val="24"/>
        </w:rPr>
      </w:pPr>
      <w:r w:rsidRPr="008C5D8C">
        <w:rPr>
          <w:rFonts w:ascii="Arial" w:hAnsi="Arial" w:cs="Arial"/>
          <w:b/>
          <w:szCs w:val="24"/>
        </w:rPr>
        <w:t xml:space="preserve">Basel Committee on Banking Supervision </w:t>
      </w:r>
    </w:p>
    <w:p w:rsidR="008C5D8C" w:rsidRDefault="008C5D8C" w:rsidP="008C5D8C">
      <w:pPr>
        <w:spacing w:after="120" w:line="240" w:lineRule="auto"/>
        <w:rPr>
          <w:rFonts w:ascii="Arial" w:hAnsi="Arial" w:cs="Arial"/>
          <w:szCs w:val="24"/>
        </w:rPr>
      </w:pPr>
      <w:r>
        <w:rPr>
          <w:rFonts w:ascii="Arial" w:hAnsi="Arial" w:cs="Arial"/>
          <w:szCs w:val="24"/>
        </w:rPr>
        <w:t>On 27 March 2020, the Basel Committee agreed to defer the implementation of Basel III to support boosting the operational capacity of banks and supervisors responding to the pandemic. In particular, the BCBS noted the following changes to its implementation timeline:</w:t>
      </w:r>
    </w:p>
    <w:p w:rsidR="008C5D8C" w:rsidRPr="008C5D8C" w:rsidRDefault="008C5D8C" w:rsidP="008C5D8C">
      <w:pPr>
        <w:numPr>
          <w:ilvl w:val="0"/>
          <w:numId w:val="11"/>
        </w:numPr>
        <w:spacing w:after="120" w:line="240" w:lineRule="auto"/>
        <w:rPr>
          <w:rFonts w:ascii="Arial" w:hAnsi="Arial" w:cs="Arial"/>
          <w:szCs w:val="24"/>
        </w:rPr>
      </w:pPr>
      <w:r w:rsidRPr="008C5D8C">
        <w:rPr>
          <w:rFonts w:ascii="Arial" w:hAnsi="Arial" w:cs="Arial"/>
          <w:szCs w:val="24"/>
        </w:rPr>
        <w:t>The implementation date of the Basel III has been deferred by one year to 1 January 2023. The accompanying transitional arrangements for the output floor has also been extended by one year to 1 January 2028.</w:t>
      </w:r>
    </w:p>
    <w:p w:rsidR="008C5D8C" w:rsidRPr="008C5D8C" w:rsidRDefault="008C5D8C" w:rsidP="008C5D8C">
      <w:pPr>
        <w:numPr>
          <w:ilvl w:val="0"/>
          <w:numId w:val="11"/>
        </w:numPr>
        <w:spacing w:after="120" w:line="240" w:lineRule="auto"/>
        <w:rPr>
          <w:rFonts w:ascii="Arial" w:hAnsi="Arial" w:cs="Arial"/>
          <w:szCs w:val="24"/>
        </w:rPr>
      </w:pPr>
      <w:r w:rsidRPr="008C5D8C">
        <w:rPr>
          <w:rFonts w:ascii="Arial" w:hAnsi="Arial" w:cs="Arial"/>
          <w:szCs w:val="24"/>
        </w:rPr>
        <w:t>The implementation date of th</w:t>
      </w:r>
      <w:r w:rsidR="00285E23">
        <w:rPr>
          <w:rFonts w:ascii="Arial" w:hAnsi="Arial" w:cs="Arial"/>
          <w:szCs w:val="24"/>
        </w:rPr>
        <w:t>e revised market risk framework</w:t>
      </w:r>
      <w:r w:rsidRPr="008C5D8C">
        <w:rPr>
          <w:rFonts w:ascii="Arial" w:hAnsi="Arial" w:cs="Arial"/>
          <w:szCs w:val="24"/>
        </w:rPr>
        <w:t xml:space="preserve"> has been deferred by one year to 1 January 2023.</w:t>
      </w:r>
    </w:p>
    <w:p w:rsidR="008C5D8C" w:rsidRPr="008C5D8C" w:rsidRDefault="008C5D8C" w:rsidP="008C5D8C">
      <w:pPr>
        <w:numPr>
          <w:ilvl w:val="0"/>
          <w:numId w:val="11"/>
        </w:numPr>
        <w:spacing w:after="120" w:line="240" w:lineRule="auto"/>
        <w:rPr>
          <w:rFonts w:ascii="Arial" w:hAnsi="Arial" w:cs="Arial"/>
          <w:szCs w:val="24"/>
        </w:rPr>
      </w:pPr>
      <w:r w:rsidRPr="008C5D8C">
        <w:rPr>
          <w:rFonts w:ascii="Arial" w:hAnsi="Arial" w:cs="Arial"/>
          <w:szCs w:val="24"/>
        </w:rPr>
        <w:t>The implementation date of the revised P</w:t>
      </w:r>
      <w:r w:rsidR="00285E23">
        <w:rPr>
          <w:rFonts w:ascii="Arial" w:hAnsi="Arial" w:cs="Arial"/>
          <w:szCs w:val="24"/>
        </w:rPr>
        <w:t>illar 3 disclosure requirements</w:t>
      </w:r>
      <w:r w:rsidRPr="008C5D8C">
        <w:rPr>
          <w:rFonts w:ascii="Arial" w:hAnsi="Arial" w:cs="Arial"/>
          <w:szCs w:val="24"/>
        </w:rPr>
        <w:t xml:space="preserve"> has been deferred by one year to 1 January 2023.</w:t>
      </w:r>
    </w:p>
    <w:p w:rsidR="00D85E0F" w:rsidRDefault="00D85E0F" w:rsidP="00D85E0F">
      <w:pPr>
        <w:spacing w:after="120" w:line="240" w:lineRule="auto"/>
        <w:rPr>
          <w:rFonts w:ascii="Arial" w:hAnsi="Arial" w:cs="Arial"/>
          <w:b/>
          <w:szCs w:val="24"/>
        </w:rPr>
      </w:pPr>
      <w:r w:rsidRPr="00D85E0F">
        <w:rPr>
          <w:rFonts w:ascii="Arial" w:hAnsi="Arial" w:cs="Arial"/>
          <w:b/>
          <w:szCs w:val="24"/>
        </w:rPr>
        <w:t>G20</w:t>
      </w:r>
    </w:p>
    <w:p w:rsidR="00D85E0F" w:rsidRDefault="00D85E0F" w:rsidP="00D85E0F">
      <w:pPr>
        <w:spacing w:after="120" w:line="240" w:lineRule="auto"/>
        <w:rPr>
          <w:rFonts w:ascii="Arial" w:hAnsi="Arial" w:cs="Arial"/>
          <w:szCs w:val="24"/>
        </w:rPr>
      </w:pPr>
      <w:r>
        <w:rPr>
          <w:rFonts w:ascii="Arial" w:hAnsi="Arial" w:cs="Arial"/>
          <w:szCs w:val="24"/>
        </w:rPr>
        <w:t xml:space="preserve">Leaders of the G20 economies </w:t>
      </w:r>
      <w:hyperlink r:id="rId38" w:history="1">
        <w:r w:rsidRPr="00D85E0F">
          <w:rPr>
            <w:rStyle w:val="Hyperlink"/>
            <w:rFonts w:ascii="Arial" w:hAnsi="Arial" w:cs="Arial"/>
            <w:szCs w:val="24"/>
          </w:rPr>
          <w:t>announced</w:t>
        </w:r>
      </w:hyperlink>
      <w:r>
        <w:rPr>
          <w:rFonts w:ascii="Arial" w:hAnsi="Arial" w:cs="Arial"/>
          <w:szCs w:val="24"/>
        </w:rPr>
        <w:t xml:space="preserve"> a number of joint commitments relating to the safeguarding of the global economy, including in particular “…</w:t>
      </w:r>
      <w:r w:rsidRPr="00D85E0F">
        <w:rPr>
          <w:rFonts w:ascii="Arial" w:hAnsi="Arial" w:cs="Arial"/>
          <w:szCs w:val="24"/>
        </w:rPr>
        <w:t>injecting over $5 trillion into the global economy, as part of targeted fiscal policy, economic measures, and guarantee schemes to counteract the social, economic and fi</w:t>
      </w:r>
      <w:r>
        <w:rPr>
          <w:rFonts w:ascii="Arial" w:hAnsi="Arial" w:cs="Arial"/>
          <w:szCs w:val="24"/>
        </w:rPr>
        <w:t>nancial impacts of the pandemic”, as well as calling for closer global cooperation between economies and international bodies, such as the WTO.</w:t>
      </w:r>
    </w:p>
    <w:p w:rsidR="006A4D2B" w:rsidRDefault="006A4D2B" w:rsidP="00D85E0F">
      <w:pPr>
        <w:spacing w:after="120" w:line="240" w:lineRule="auto"/>
        <w:rPr>
          <w:rFonts w:ascii="Arial" w:hAnsi="Arial" w:cs="Arial"/>
          <w:b/>
          <w:szCs w:val="24"/>
        </w:rPr>
      </w:pPr>
      <w:r>
        <w:rPr>
          <w:rFonts w:ascii="Arial" w:hAnsi="Arial" w:cs="Arial"/>
          <w:b/>
          <w:szCs w:val="24"/>
        </w:rPr>
        <w:t xml:space="preserve">International Trade and Forfaiting </w:t>
      </w:r>
      <w:proofErr w:type="spellStart"/>
      <w:r>
        <w:rPr>
          <w:rFonts w:ascii="Arial" w:hAnsi="Arial" w:cs="Arial"/>
          <w:b/>
          <w:szCs w:val="24"/>
        </w:rPr>
        <w:t>Assocation</w:t>
      </w:r>
      <w:proofErr w:type="spellEnd"/>
      <w:r>
        <w:rPr>
          <w:rFonts w:ascii="Arial" w:hAnsi="Arial" w:cs="Arial"/>
          <w:b/>
          <w:szCs w:val="24"/>
        </w:rPr>
        <w:t xml:space="preserve"> (ITFA)</w:t>
      </w:r>
    </w:p>
    <w:p w:rsidR="006A4D2B" w:rsidRPr="006A4D2B" w:rsidRDefault="006A4D2B" w:rsidP="00D85E0F">
      <w:pPr>
        <w:spacing w:after="120" w:line="240" w:lineRule="auto"/>
        <w:rPr>
          <w:rFonts w:ascii="Arial" w:hAnsi="Arial" w:cs="Arial"/>
          <w:szCs w:val="24"/>
        </w:rPr>
      </w:pPr>
      <w:r>
        <w:rPr>
          <w:rFonts w:ascii="Arial" w:hAnsi="Arial" w:cs="Arial"/>
          <w:szCs w:val="24"/>
        </w:rPr>
        <w:t xml:space="preserve">On 21 April 2020, ITFA </w:t>
      </w:r>
      <w:hyperlink r:id="rId39" w:history="1">
        <w:r w:rsidRPr="006A4D2B">
          <w:rPr>
            <w:rStyle w:val="Hyperlink"/>
            <w:rFonts w:ascii="Arial" w:hAnsi="Arial" w:cs="Arial"/>
            <w:szCs w:val="24"/>
          </w:rPr>
          <w:t>called for EU-wide harmonisation and equality for all insurance products</w:t>
        </w:r>
      </w:hyperlink>
      <w:r>
        <w:rPr>
          <w:rFonts w:ascii="Arial" w:hAnsi="Arial" w:cs="Arial"/>
          <w:szCs w:val="24"/>
        </w:rPr>
        <w:t xml:space="preserve">, echoing earlier calls by ICISA. In particular, ITFA noted that government </w:t>
      </w:r>
      <w:r w:rsidR="00534523">
        <w:rPr>
          <w:rFonts w:ascii="Arial" w:hAnsi="Arial" w:cs="Arial"/>
          <w:szCs w:val="24"/>
        </w:rPr>
        <w:t>support has not considered</w:t>
      </w:r>
      <w:r>
        <w:rPr>
          <w:rFonts w:ascii="Arial" w:hAnsi="Arial" w:cs="Arial"/>
          <w:szCs w:val="24"/>
        </w:rPr>
        <w:t xml:space="preserve"> “…</w:t>
      </w:r>
      <w:r w:rsidRPr="006A4D2B">
        <w:rPr>
          <w:rFonts w:ascii="Arial" w:hAnsi="Arial" w:cs="Arial"/>
          <w:szCs w:val="24"/>
        </w:rPr>
        <w:t>other insurance products such as the single risk insurance market or surety, and the diverse range of cover that they bring</w:t>
      </w:r>
      <w:r>
        <w:rPr>
          <w:rFonts w:ascii="Arial" w:hAnsi="Arial" w:cs="Arial"/>
          <w:szCs w:val="24"/>
        </w:rPr>
        <w:t>”</w:t>
      </w:r>
      <w:r w:rsidRPr="006A4D2B">
        <w:rPr>
          <w:rFonts w:ascii="Arial" w:hAnsi="Arial" w:cs="Arial"/>
          <w:szCs w:val="24"/>
        </w:rPr>
        <w:t>.</w:t>
      </w:r>
      <w:r>
        <w:rPr>
          <w:rFonts w:ascii="Arial" w:hAnsi="Arial" w:cs="Arial"/>
          <w:szCs w:val="24"/>
        </w:rPr>
        <w:t xml:space="preserve"> ITFA also noted the lack of clarity  around the impact of some payment deferral schemes on non-payment insurance solutions, and how existing insurance deals are affected by state guarantees. In addition to calling for greater awareness of the private credit insurance market when considering support schemes, ITFA joins ICISA and others in stating the case for greater coordination and harmonisation of government approaches </w:t>
      </w:r>
      <w:r w:rsidR="00534523">
        <w:rPr>
          <w:rFonts w:ascii="Arial" w:hAnsi="Arial" w:cs="Arial"/>
          <w:szCs w:val="24"/>
        </w:rPr>
        <w:t>across the EU.</w:t>
      </w:r>
    </w:p>
    <w:p w:rsidR="00E64208" w:rsidRDefault="00E64208" w:rsidP="00D85E0F">
      <w:pPr>
        <w:spacing w:after="120" w:line="240" w:lineRule="auto"/>
        <w:rPr>
          <w:rFonts w:ascii="Arial" w:hAnsi="Arial" w:cs="Arial"/>
          <w:b/>
          <w:szCs w:val="24"/>
        </w:rPr>
      </w:pPr>
      <w:r w:rsidRPr="00E64208">
        <w:rPr>
          <w:rFonts w:ascii="Arial" w:hAnsi="Arial" w:cs="Arial"/>
          <w:b/>
          <w:szCs w:val="24"/>
        </w:rPr>
        <w:t>International Chamber of Commerce (ICC)</w:t>
      </w:r>
    </w:p>
    <w:p w:rsidR="00E64208" w:rsidRPr="00E64208" w:rsidRDefault="00E64208" w:rsidP="00D85E0F">
      <w:pPr>
        <w:spacing w:after="120" w:line="240" w:lineRule="auto"/>
        <w:rPr>
          <w:rFonts w:ascii="Arial" w:hAnsi="Arial" w:cs="Arial"/>
          <w:szCs w:val="24"/>
        </w:rPr>
      </w:pPr>
      <w:r>
        <w:rPr>
          <w:rFonts w:ascii="Arial" w:hAnsi="Arial" w:cs="Arial"/>
          <w:szCs w:val="24"/>
        </w:rPr>
        <w:t xml:space="preserve">The ICC </w:t>
      </w:r>
      <w:hyperlink r:id="rId40" w:history="1">
        <w:r w:rsidRPr="00E64208">
          <w:rPr>
            <w:rStyle w:val="Hyperlink"/>
            <w:rFonts w:ascii="Arial" w:hAnsi="Arial" w:cs="Arial"/>
            <w:szCs w:val="24"/>
          </w:rPr>
          <w:t>updated its Force Majeure and Hardship clauses</w:t>
        </w:r>
      </w:hyperlink>
      <w:r>
        <w:rPr>
          <w:rFonts w:ascii="Arial" w:hAnsi="Arial" w:cs="Arial"/>
          <w:szCs w:val="24"/>
        </w:rPr>
        <w:t xml:space="preserve"> in response to the pandemic. The amendments introduced</w:t>
      </w:r>
      <w:r w:rsidRPr="00E64208">
        <w:rPr>
          <w:rFonts w:ascii="Arial" w:hAnsi="Arial" w:cs="Arial"/>
          <w:szCs w:val="24"/>
        </w:rPr>
        <w:t xml:space="preserve"> a new Short Form Force Majeure Clause </w:t>
      </w:r>
      <w:r>
        <w:rPr>
          <w:rFonts w:ascii="Arial" w:hAnsi="Arial" w:cs="Arial"/>
          <w:szCs w:val="24"/>
        </w:rPr>
        <w:t xml:space="preserve">aimed at SME usage </w:t>
      </w:r>
      <w:r w:rsidRPr="00E64208">
        <w:rPr>
          <w:rFonts w:ascii="Arial" w:hAnsi="Arial" w:cs="Arial"/>
          <w:szCs w:val="24"/>
        </w:rPr>
        <w:t xml:space="preserve">which is limited to some essential provisions </w:t>
      </w:r>
      <w:r>
        <w:rPr>
          <w:rFonts w:ascii="Arial" w:hAnsi="Arial" w:cs="Arial"/>
          <w:szCs w:val="24"/>
        </w:rPr>
        <w:t>relating to the most important</w:t>
      </w:r>
      <w:r w:rsidRPr="00E64208">
        <w:rPr>
          <w:rFonts w:ascii="Arial" w:hAnsi="Arial" w:cs="Arial"/>
          <w:szCs w:val="24"/>
        </w:rPr>
        <w:t xml:space="preserve"> Force Majeure issues, and </w:t>
      </w:r>
      <w:r>
        <w:rPr>
          <w:rFonts w:ascii="Arial" w:hAnsi="Arial" w:cs="Arial"/>
          <w:szCs w:val="24"/>
        </w:rPr>
        <w:t>introduced further</w:t>
      </w:r>
      <w:r w:rsidRPr="00E64208">
        <w:rPr>
          <w:rFonts w:ascii="Arial" w:hAnsi="Arial" w:cs="Arial"/>
          <w:szCs w:val="24"/>
        </w:rPr>
        <w:t xml:space="preserve"> options in the Hardship Clause for termination and adaptation of contracts.</w:t>
      </w:r>
    </w:p>
    <w:p w:rsidR="00FE1478" w:rsidRDefault="00FE1478" w:rsidP="00FE1478">
      <w:pPr>
        <w:spacing w:before="120" w:after="240" w:line="360" w:lineRule="auto"/>
        <w:rPr>
          <w:rFonts w:ascii="Arial" w:hAnsi="Arial" w:cs="Arial"/>
          <w:b/>
          <w:szCs w:val="24"/>
          <w:lang w:val="en-US"/>
        </w:rPr>
      </w:pPr>
      <w:r w:rsidRPr="00FE1478">
        <w:rPr>
          <w:rFonts w:ascii="Arial" w:hAnsi="Arial" w:cs="Arial"/>
          <w:b/>
          <w:szCs w:val="24"/>
          <w:lang w:val="en-US"/>
        </w:rPr>
        <w:t>Useful Links</w:t>
      </w:r>
    </w:p>
    <w:p w:rsidR="005E07FC" w:rsidRPr="00FE1478" w:rsidRDefault="0074224A" w:rsidP="00FE1478">
      <w:pPr>
        <w:pStyle w:val="ListParagraph"/>
        <w:numPr>
          <w:ilvl w:val="0"/>
          <w:numId w:val="9"/>
        </w:numPr>
        <w:spacing w:before="120" w:after="240" w:line="360" w:lineRule="auto"/>
        <w:rPr>
          <w:rFonts w:ascii="Arial" w:hAnsi="Arial" w:cs="Arial"/>
          <w:lang w:val="en-US"/>
        </w:rPr>
      </w:pPr>
      <w:hyperlink r:id="rId41" w:history="1">
        <w:r w:rsidR="005E07FC" w:rsidRPr="005E07FC">
          <w:rPr>
            <w:rStyle w:val="Hyperlink"/>
            <w:rFonts w:ascii="Arial" w:hAnsi="Arial" w:cs="Arial"/>
            <w:szCs w:val="24"/>
            <w:lang w:val="en-US"/>
          </w:rPr>
          <w:t>European Union Coronavirus website</w:t>
        </w:r>
      </w:hyperlink>
    </w:p>
    <w:p w:rsidR="00FE1478" w:rsidRPr="005E07FC" w:rsidRDefault="0074224A" w:rsidP="00FE1478">
      <w:pPr>
        <w:pStyle w:val="ListParagraph"/>
        <w:numPr>
          <w:ilvl w:val="0"/>
          <w:numId w:val="9"/>
        </w:numPr>
        <w:spacing w:before="120" w:after="240" w:line="360" w:lineRule="auto"/>
        <w:rPr>
          <w:rStyle w:val="Hyperlink"/>
          <w:rFonts w:ascii="Arial" w:hAnsi="Arial" w:cs="Arial"/>
          <w:color w:val="auto"/>
          <w:u w:val="none"/>
          <w:lang w:val="en-US"/>
        </w:rPr>
      </w:pPr>
      <w:hyperlink r:id="rId42" w:history="1">
        <w:r w:rsidR="00FE1478" w:rsidRPr="00FE1478">
          <w:rPr>
            <w:rStyle w:val="Hyperlink"/>
            <w:rFonts w:ascii="Arial" w:hAnsi="Arial" w:cs="Arial"/>
            <w:szCs w:val="24"/>
            <w:lang w:val="en-US"/>
          </w:rPr>
          <w:t>US Government Coronavirus website</w:t>
        </w:r>
      </w:hyperlink>
    </w:p>
    <w:p w:rsidR="005E07FC" w:rsidRPr="0050149A" w:rsidRDefault="0074224A" w:rsidP="00FE1478">
      <w:pPr>
        <w:pStyle w:val="ListParagraph"/>
        <w:numPr>
          <w:ilvl w:val="0"/>
          <w:numId w:val="9"/>
        </w:numPr>
        <w:spacing w:before="120" w:after="240" w:line="360" w:lineRule="auto"/>
        <w:rPr>
          <w:rFonts w:ascii="Arial" w:hAnsi="Arial" w:cs="Arial"/>
          <w:lang w:val="en-US"/>
        </w:rPr>
      </w:pPr>
      <w:hyperlink r:id="rId43" w:history="1">
        <w:r w:rsidR="005E07FC" w:rsidRPr="005E07FC">
          <w:rPr>
            <w:rStyle w:val="Hyperlink"/>
            <w:rFonts w:ascii="Arial" w:hAnsi="Arial" w:cs="Arial"/>
            <w:szCs w:val="24"/>
            <w:lang w:val="en-US"/>
          </w:rPr>
          <w:t>US Federal Reserve Coronavirus website</w:t>
        </w:r>
      </w:hyperlink>
    </w:p>
    <w:p w:rsidR="00FE1478" w:rsidRPr="00FE1478" w:rsidRDefault="0074224A" w:rsidP="00FE1478">
      <w:pPr>
        <w:pStyle w:val="ListParagraph"/>
        <w:numPr>
          <w:ilvl w:val="0"/>
          <w:numId w:val="9"/>
        </w:numPr>
        <w:spacing w:before="120" w:after="240" w:line="360" w:lineRule="auto"/>
        <w:rPr>
          <w:rFonts w:ascii="Arial" w:hAnsi="Arial" w:cs="Arial"/>
          <w:lang w:val="en-US"/>
        </w:rPr>
      </w:pPr>
      <w:hyperlink r:id="rId44" w:history="1">
        <w:r w:rsidR="00FE1478" w:rsidRPr="00FE1478">
          <w:rPr>
            <w:rStyle w:val="Hyperlink"/>
            <w:rFonts w:ascii="Arial" w:hAnsi="Arial" w:cs="Arial"/>
            <w:szCs w:val="24"/>
            <w:lang w:val="en-US"/>
          </w:rPr>
          <w:t>World Bank Coronavirus information</w:t>
        </w:r>
      </w:hyperlink>
    </w:p>
    <w:p w:rsidR="00D85E0F" w:rsidRPr="00D85E0F" w:rsidRDefault="0074224A" w:rsidP="00FE1478">
      <w:pPr>
        <w:pStyle w:val="ListParagraph"/>
        <w:numPr>
          <w:ilvl w:val="0"/>
          <w:numId w:val="9"/>
        </w:numPr>
        <w:spacing w:before="120" w:after="240" w:line="360" w:lineRule="auto"/>
        <w:rPr>
          <w:rFonts w:ascii="Arial" w:hAnsi="Arial" w:cs="Arial"/>
          <w:lang w:val="en-US"/>
        </w:rPr>
      </w:pPr>
      <w:hyperlink r:id="rId45" w:history="1">
        <w:r w:rsidR="00FE1478" w:rsidRPr="00FE1478">
          <w:rPr>
            <w:rStyle w:val="Hyperlink"/>
            <w:rFonts w:ascii="Arial" w:hAnsi="Arial" w:cs="Arial"/>
            <w:szCs w:val="24"/>
            <w:lang w:val="en-US"/>
          </w:rPr>
          <w:t>IMF Coronavirus response information</w:t>
        </w:r>
      </w:hyperlink>
    </w:p>
    <w:p w:rsidR="005B177F" w:rsidRPr="00F57717" w:rsidRDefault="0074224A" w:rsidP="00F57717">
      <w:pPr>
        <w:pStyle w:val="ListParagraph"/>
        <w:numPr>
          <w:ilvl w:val="0"/>
          <w:numId w:val="9"/>
        </w:numPr>
        <w:spacing w:before="120" w:after="240" w:line="360" w:lineRule="auto"/>
        <w:rPr>
          <w:rFonts w:ascii="Arial" w:hAnsi="Arial" w:cs="Arial"/>
          <w:lang w:val="en-US"/>
        </w:rPr>
      </w:pPr>
      <w:hyperlink r:id="rId46" w:history="1">
        <w:r w:rsidR="00D85E0F" w:rsidRPr="00D85E0F">
          <w:rPr>
            <w:rStyle w:val="Hyperlink"/>
            <w:rFonts w:ascii="Arial" w:hAnsi="Arial" w:cs="Arial"/>
            <w:szCs w:val="24"/>
            <w:lang w:val="en-US"/>
          </w:rPr>
          <w:t>WTO Coronavirus website</w:t>
        </w:r>
      </w:hyperlink>
      <w:r w:rsidR="007750E4" w:rsidRPr="00FE1478">
        <w:rPr>
          <w:rFonts w:ascii="Arial" w:hAnsi="Arial" w:cs="Arial"/>
          <w:szCs w:val="24"/>
          <w:lang w:val="en-US"/>
        </w:rPr>
        <w:br/>
      </w:r>
    </w:p>
    <w:sectPr w:rsidR="005B177F" w:rsidRPr="00F57717" w:rsidSect="00813056">
      <w:headerReference w:type="default" r:id="rId47"/>
      <w:footerReference w:type="default" r:id="rId48"/>
      <w:pgSz w:w="11906" w:h="16838"/>
      <w:pgMar w:top="3119" w:right="1417" w:bottom="1417" w:left="1417"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24A" w:rsidRDefault="0074224A" w:rsidP="00813056">
      <w:pPr>
        <w:spacing w:after="0" w:line="240" w:lineRule="auto"/>
      </w:pPr>
      <w:r>
        <w:separator/>
      </w:r>
    </w:p>
  </w:endnote>
  <w:endnote w:type="continuationSeparator" w:id="0">
    <w:p w:rsidR="0074224A" w:rsidRDefault="0074224A" w:rsidP="0081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7F" w:rsidRPr="00404112" w:rsidRDefault="005B177F" w:rsidP="005B177F">
    <w:pPr>
      <w:rPr>
        <w:rFonts w:cs="Arial"/>
        <w:color w:val="A6A6A6"/>
        <w:sz w:val="14"/>
        <w:szCs w:val="14"/>
      </w:rPr>
    </w:pPr>
    <w:r w:rsidRPr="0000167D">
      <w:rPr>
        <w:rFonts w:cs="Arial"/>
        <w:color w:val="A6A6A6"/>
        <w:sz w:val="14"/>
        <w:szCs w:val="14"/>
      </w:rPr>
      <w:t xml:space="preserve">ICISA members: </w:t>
    </w:r>
    <w:proofErr w:type="spellStart"/>
    <w:r w:rsidRPr="0000167D">
      <w:rPr>
        <w:rFonts w:cs="Arial"/>
        <w:color w:val="A6A6A6"/>
        <w:sz w:val="14"/>
        <w:szCs w:val="14"/>
      </w:rPr>
      <w:t>Abarca</w:t>
    </w:r>
    <w:proofErr w:type="spellEnd"/>
    <w:r w:rsidRPr="0000167D">
      <w:rPr>
        <w:rFonts w:cs="Arial"/>
        <w:color w:val="A6A6A6"/>
        <w:sz w:val="14"/>
        <w:szCs w:val="14"/>
      </w:rPr>
      <w:t xml:space="preserve"> - </w:t>
    </w:r>
    <w:proofErr w:type="spellStart"/>
    <w:r w:rsidRPr="0000167D">
      <w:rPr>
        <w:rFonts w:cs="Arial"/>
        <w:color w:val="A6A6A6"/>
        <w:sz w:val="14"/>
        <w:szCs w:val="14"/>
      </w:rPr>
      <w:t>Afianzadora</w:t>
    </w:r>
    <w:proofErr w:type="spellEnd"/>
    <w:r w:rsidRPr="0000167D">
      <w:rPr>
        <w:rFonts w:cs="Arial"/>
        <w:color w:val="A6A6A6"/>
        <w:sz w:val="14"/>
        <w:szCs w:val="14"/>
      </w:rPr>
      <w:t xml:space="preserve"> </w:t>
    </w:r>
    <w:proofErr w:type="spellStart"/>
    <w:r w:rsidRPr="0000167D">
      <w:rPr>
        <w:rFonts w:cs="Arial"/>
        <w:color w:val="A6A6A6"/>
        <w:sz w:val="14"/>
        <w:szCs w:val="14"/>
      </w:rPr>
      <w:t>Latinoamericana</w:t>
    </w:r>
    <w:proofErr w:type="spellEnd"/>
    <w:r w:rsidRPr="0000167D">
      <w:rPr>
        <w:rFonts w:cs="Arial"/>
        <w:color w:val="A6A6A6"/>
        <w:sz w:val="14"/>
        <w:szCs w:val="14"/>
      </w:rPr>
      <w:t xml:space="preserve"> - Arch Re - Argo Surety - </w:t>
    </w:r>
    <w:proofErr w:type="spellStart"/>
    <w:r w:rsidRPr="0000167D">
      <w:rPr>
        <w:rFonts w:cs="Arial"/>
        <w:color w:val="A6A6A6"/>
        <w:sz w:val="14"/>
        <w:szCs w:val="14"/>
      </w:rPr>
      <w:t>Aserta</w:t>
    </w:r>
    <w:proofErr w:type="spellEnd"/>
    <w:r w:rsidRPr="0000167D">
      <w:rPr>
        <w:rFonts w:cs="Arial"/>
        <w:color w:val="A6A6A6"/>
        <w:sz w:val="14"/>
        <w:szCs w:val="14"/>
      </w:rPr>
      <w:t xml:space="preserve"> - PT. </w:t>
    </w:r>
    <w:proofErr w:type="spellStart"/>
    <w:r w:rsidRPr="0000167D">
      <w:rPr>
        <w:rFonts w:cs="Arial"/>
        <w:color w:val="A6A6A6"/>
        <w:sz w:val="14"/>
        <w:szCs w:val="14"/>
      </w:rPr>
      <w:t>Askrindo</w:t>
    </w:r>
    <w:proofErr w:type="spellEnd"/>
    <w:r w:rsidRPr="0000167D">
      <w:rPr>
        <w:rFonts w:cs="Arial"/>
        <w:color w:val="A6A6A6"/>
        <w:sz w:val="14"/>
        <w:szCs w:val="14"/>
      </w:rPr>
      <w:t xml:space="preserve"> (</w:t>
    </w:r>
    <w:proofErr w:type="spellStart"/>
    <w:r w:rsidRPr="0000167D">
      <w:rPr>
        <w:rFonts w:cs="Arial"/>
        <w:color w:val="A6A6A6"/>
        <w:sz w:val="14"/>
        <w:szCs w:val="14"/>
      </w:rPr>
      <w:t>Persero</w:t>
    </w:r>
    <w:proofErr w:type="spellEnd"/>
    <w:r w:rsidRPr="0000167D">
      <w:rPr>
        <w:rFonts w:cs="Arial"/>
        <w:color w:val="A6A6A6"/>
        <w:sz w:val="14"/>
        <w:szCs w:val="14"/>
      </w:rPr>
      <w:t xml:space="preserve">) -  </w:t>
    </w:r>
    <w:proofErr w:type="spellStart"/>
    <w:r w:rsidRPr="0000167D">
      <w:rPr>
        <w:rFonts w:cs="Arial"/>
        <w:color w:val="A6A6A6"/>
        <w:sz w:val="14"/>
        <w:szCs w:val="14"/>
      </w:rPr>
      <w:t>Atradius</w:t>
    </w:r>
    <w:proofErr w:type="spellEnd"/>
    <w:r w:rsidRPr="0000167D">
      <w:rPr>
        <w:rFonts w:cs="Arial"/>
        <w:color w:val="A6A6A6"/>
        <w:sz w:val="14"/>
        <w:szCs w:val="14"/>
      </w:rPr>
      <w:t xml:space="preserve"> </w:t>
    </w:r>
    <w:r>
      <w:rPr>
        <w:rFonts w:cs="Arial"/>
        <w:color w:val="A6A6A6"/>
        <w:sz w:val="14"/>
        <w:szCs w:val="14"/>
      </w:rPr>
      <w:t>-</w:t>
    </w:r>
    <w:r w:rsidRPr="0000167D">
      <w:rPr>
        <w:rFonts w:cs="Arial"/>
        <w:color w:val="A6A6A6"/>
        <w:sz w:val="14"/>
        <w:szCs w:val="14"/>
      </w:rPr>
      <w:t xml:space="preserve"> AVIVA - AXA </w:t>
    </w:r>
    <w:r>
      <w:rPr>
        <w:rFonts w:cs="Arial"/>
        <w:color w:val="A6A6A6"/>
        <w:sz w:val="14"/>
        <w:szCs w:val="14"/>
      </w:rPr>
      <w:t>-</w:t>
    </w:r>
    <w:r w:rsidRPr="0000167D">
      <w:rPr>
        <w:rFonts w:cs="Arial"/>
        <w:color w:val="A6A6A6"/>
        <w:sz w:val="14"/>
        <w:szCs w:val="14"/>
      </w:rPr>
      <w:t xml:space="preserve"> AXA XL - AXIS </w:t>
    </w:r>
    <w:proofErr w:type="spellStart"/>
    <w:r w:rsidRPr="0000167D">
      <w:rPr>
        <w:rFonts w:cs="Arial"/>
        <w:color w:val="A6A6A6"/>
        <w:sz w:val="14"/>
        <w:szCs w:val="14"/>
      </w:rPr>
      <w:t>Captial</w:t>
    </w:r>
    <w:proofErr w:type="spellEnd"/>
    <w:r w:rsidRPr="0000167D">
      <w:rPr>
        <w:rFonts w:cs="Arial"/>
        <w:color w:val="A6A6A6"/>
        <w:sz w:val="14"/>
        <w:szCs w:val="14"/>
      </w:rPr>
      <w:t xml:space="preserve"> - BTG </w:t>
    </w:r>
    <w:proofErr w:type="spellStart"/>
    <w:r w:rsidRPr="0000167D">
      <w:rPr>
        <w:rFonts w:cs="Arial"/>
        <w:color w:val="A6A6A6"/>
        <w:sz w:val="14"/>
        <w:szCs w:val="14"/>
      </w:rPr>
      <w:t>Pactual</w:t>
    </w:r>
    <w:proofErr w:type="spellEnd"/>
    <w:r w:rsidRPr="0000167D">
      <w:rPr>
        <w:rFonts w:cs="Arial"/>
        <w:color w:val="A6A6A6"/>
        <w:sz w:val="14"/>
        <w:szCs w:val="14"/>
      </w:rPr>
      <w:t xml:space="preserve"> - CESCE - China National Investment &amp; Guaranty Co., Ltd - China Pacific Insurance Co. Ltd. - Chubb - CLAL Credit Insurance Ltd - </w:t>
    </w:r>
    <w:proofErr w:type="spellStart"/>
    <w:r w:rsidRPr="0000167D">
      <w:rPr>
        <w:rFonts w:cs="Arial"/>
        <w:color w:val="A6A6A6"/>
        <w:sz w:val="14"/>
        <w:szCs w:val="14"/>
      </w:rPr>
      <w:t>Coface</w:t>
    </w:r>
    <w:proofErr w:type="spellEnd"/>
    <w:r w:rsidRPr="0000167D">
      <w:rPr>
        <w:rFonts w:cs="Arial"/>
        <w:color w:val="A6A6A6"/>
        <w:sz w:val="14"/>
        <w:szCs w:val="14"/>
      </w:rPr>
      <w:t xml:space="preserve"> - </w:t>
    </w:r>
    <w:proofErr w:type="spellStart"/>
    <w:r w:rsidRPr="0000167D">
      <w:rPr>
        <w:rFonts w:cs="Arial"/>
        <w:color w:val="A6A6A6"/>
        <w:sz w:val="14"/>
        <w:szCs w:val="14"/>
      </w:rPr>
      <w:t>Coface</w:t>
    </w:r>
    <w:proofErr w:type="spellEnd"/>
    <w:r w:rsidRPr="0000167D">
      <w:rPr>
        <w:rFonts w:cs="Arial"/>
        <w:color w:val="A6A6A6"/>
        <w:sz w:val="14"/>
        <w:szCs w:val="14"/>
      </w:rPr>
      <w:t xml:space="preserve"> PKZ - COSEC - </w:t>
    </w:r>
    <w:proofErr w:type="spellStart"/>
    <w:r w:rsidRPr="0000167D">
      <w:rPr>
        <w:rFonts w:cs="Arial"/>
        <w:color w:val="A6A6A6"/>
        <w:sz w:val="14"/>
        <w:szCs w:val="14"/>
      </w:rPr>
      <w:t>Credendo</w:t>
    </w:r>
    <w:proofErr w:type="spellEnd"/>
    <w:r w:rsidRPr="0000167D">
      <w:rPr>
        <w:rFonts w:cs="Arial"/>
        <w:color w:val="A6A6A6"/>
        <w:sz w:val="14"/>
        <w:szCs w:val="14"/>
      </w:rPr>
      <w:t xml:space="preserve"> - Credit Guarantee - Euler Hermes – </w:t>
    </w:r>
    <w:proofErr w:type="spellStart"/>
    <w:r w:rsidRPr="0000167D">
      <w:rPr>
        <w:rFonts w:cs="Arial"/>
        <w:color w:val="A6A6A6"/>
        <w:sz w:val="14"/>
        <w:szCs w:val="14"/>
      </w:rPr>
      <w:t>Fianzas</w:t>
    </w:r>
    <w:proofErr w:type="spellEnd"/>
    <w:r w:rsidRPr="0000167D">
      <w:rPr>
        <w:rFonts w:cs="Arial"/>
        <w:color w:val="A6A6A6"/>
        <w:sz w:val="14"/>
        <w:szCs w:val="14"/>
      </w:rPr>
      <w:t xml:space="preserve"> y </w:t>
    </w:r>
    <w:proofErr w:type="spellStart"/>
    <w:r w:rsidRPr="0000167D">
      <w:rPr>
        <w:rFonts w:cs="Arial"/>
        <w:color w:val="A6A6A6"/>
        <w:sz w:val="14"/>
        <w:szCs w:val="14"/>
      </w:rPr>
      <w:t>Cauciones</w:t>
    </w:r>
    <w:proofErr w:type="spellEnd"/>
    <w:r w:rsidRPr="0000167D">
      <w:rPr>
        <w:rFonts w:cs="Arial"/>
        <w:color w:val="A6A6A6"/>
        <w:sz w:val="14"/>
        <w:szCs w:val="14"/>
      </w:rPr>
      <w:t xml:space="preserve"> Atlas S.A. - The Guarantee Company of North America - </w:t>
    </w:r>
    <w:proofErr w:type="spellStart"/>
    <w:r w:rsidRPr="0000167D">
      <w:rPr>
        <w:rFonts w:cs="Arial"/>
        <w:color w:val="A6A6A6"/>
        <w:sz w:val="14"/>
        <w:szCs w:val="14"/>
      </w:rPr>
      <w:t>Groupama</w:t>
    </w:r>
    <w:proofErr w:type="spellEnd"/>
    <w:r w:rsidRPr="0000167D">
      <w:rPr>
        <w:rFonts w:cs="Arial"/>
        <w:color w:val="A6A6A6"/>
        <w:sz w:val="14"/>
        <w:szCs w:val="14"/>
      </w:rPr>
      <w:t xml:space="preserve"> Assurance-</w:t>
    </w:r>
    <w:proofErr w:type="spellStart"/>
    <w:r w:rsidRPr="0000167D">
      <w:rPr>
        <w:rFonts w:cs="Arial"/>
        <w:color w:val="A6A6A6"/>
        <w:sz w:val="14"/>
        <w:szCs w:val="14"/>
      </w:rPr>
      <w:t>crédit</w:t>
    </w:r>
    <w:proofErr w:type="spellEnd"/>
    <w:r w:rsidRPr="0000167D">
      <w:rPr>
        <w:rFonts w:cs="Arial"/>
        <w:color w:val="A6A6A6"/>
        <w:sz w:val="14"/>
        <w:szCs w:val="14"/>
      </w:rPr>
      <w:t xml:space="preserve"> &amp; Caution - Hannover Re - ICIC - </w:t>
    </w:r>
    <w:proofErr w:type="spellStart"/>
    <w:r w:rsidRPr="0000167D">
      <w:rPr>
        <w:rFonts w:cs="Arial"/>
        <w:color w:val="A6A6A6"/>
        <w:sz w:val="14"/>
        <w:szCs w:val="14"/>
      </w:rPr>
      <w:t>KazakhExport</w:t>
    </w:r>
    <w:proofErr w:type="spellEnd"/>
    <w:r w:rsidRPr="0000167D">
      <w:rPr>
        <w:rFonts w:cs="Arial"/>
        <w:color w:val="A6A6A6"/>
        <w:sz w:val="14"/>
        <w:szCs w:val="14"/>
      </w:rPr>
      <w:t xml:space="preserve"> - Liberty Mutual Insurance Group - Lombard Insurance Company - Mitsui Sumitomo - MS Amlin - Munich Re - Navigators Re - PartnerRe Ltd - PICC Property and Casualty Company Limited - Ping An P&amp;C - Qatar Re - QBE - R+V Re - SACE BT - S2C S.p.A. - SCOR SE - Seoul Guarantee Insurance Company (SGI) - </w:t>
    </w:r>
    <w:proofErr w:type="spellStart"/>
    <w:r w:rsidRPr="0000167D">
      <w:rPr>
        <w:rFonts w:cs="Arial"/>
        <w:color w:val="A6A6A6"/>
        <w:sz w:val="14"/>
        <w:szCs w:val="14"/>
      </w:rPr>
      <w:t>Sompo</w:t>
    </w:r>
    <w:proofErr w:type="spellEnd"/>
    <w:r w:rsidRPr="0000167D">
      <w:rPr>
        <w:rFonts w:cs="Arial"/>
        <w:color w:val="A6A6A6"/>
        <w:sz w:val="14"/>
        <w:szCs w:val="14"/>
      </w:rPr>
      <w:t xml:space="preserve"> International - </w:t>
    </w:r>
    <w:proofErr w:type="spellStart"/>
    <w:r w:rsidRPr="0000167D">
      <w:rPr>
        <w:rFonts w:cs="Arial"/>
        <w:color w:val="A6A6A6"/>
        <w:sz w:val="14"/>
        <w:szCs w:val="14"/>
      </w:rPr>
      <w:t>Sompo</w:t>
    </w:r>
    <w:proofErr w:type="spellEnd"/>
    <w:r w:rsidRPr="0000167D">
      <w:rPr>
        <w:rFonts w:cs="Arial"/>
        <w:color w:val="A6A6A6"/>
        <w:sz w:val="14"/>
        <w:szCs w:val="14"/>
      </w:rPr>
      <w:t xml:space="preserve"> Japan - Swiss Re </w:t>
    </w:r>
    <w:r>
      <w:rPr>
        <w:rFonts w:cs="Arial"/>
        <w:color w:val="A6A6A6"/>
        <w:sz w:val="14"/>
        <w:szCs w:val="14"/>
      </w:rPr>
      <w:t>-</w:t>
    </w:r>
    <w:r w:rsidRPr="0000167D">
      <w:rPr>
        <w:rFonts w:cs="Arial"/>
        <w:color w:val="A6A6A6"/>
        <w:sz w:val="14"/>
        <w:szCs w:val="14"/>
      </w:rPr>
      <w:t xml:space="preserve"> Swiss Re Corporate Solutions - </w:t>
    </w:r>
    <w:proofErr w:type="spellStart"/>
    <w:r w:rsidRPr="0000167D">
      <w:rPr>
        <w:rFonts w:cs="Arial"/>
        <w:color w:val="A6A6A6"/>
        <w:sz w:val="14"/>
        <w:szCs w:val="14"/>
      </w:rPr>
      <w:t>Tokio</w:t>
    </w:r>
    <w:proofErr w:type="spellEnd"/>
    <w:r w:rsidRPr="0000167D">
      <w:rPr>
        <w:rFonts w:cs="Arial"/>
        <w:color w:val="A6A6A6"/>
        <w:sz w:val="14"/>
        <w:szCs w:val="14"/>
      </w:rPr>
      <w:t xml:space="preserve"> Marine - Travelers - </w:t>
    </w:r>
    <w:proofErr w:type="spellStart"/>
    <w:r w:rsidRPr="0000167D">
      <w:rPr>
        <w:rFonts w:cs="Arial"/>
        <w:color w:val="A6A6A6"/>
        <w:sz w:val="14"/>
        <w:szCs w:val="14"/>
      </w:rPr>
      <w:t>Tryg</w:t>
    </w:r>
    <w:proofErr w:type="spellEnd"/>
    <w:r w:rsidRPr="0000167D">
      <w:rPr>
        <w:rFonts w:cs="Arial"/>
        <w:color w:val="A6A6A6"/>
        <w:sz w:val="14"/>
        <w:szCs w:val="14"/>
      </w:rPr>
      <w:t xml:space="preserve"> </w:t>
    </w:r>
    <w:proofErr w:type="spellStart"/>
    <w:r w:rsidRPr="0000167D">
      <w:rPr>
        <w:rFonts w:cs="Arial"/>
        <w:color w:val="A6A6A6"/>
        <w:sz w:val="14"/>
        <w:szCs w:val="14"/>
      </w:rPr>
      <w:t>Garanti</w:t>
    </w:r>
    <w:proofErr w:type="spellEnd"/>
    <w:r w:rsidRPr="0000167D">
      <w:rPr>
        <w:rFonts w:cs="Arial"/>
        <w:color w:val="A6A6A6"/>
        <w:sz w:val="14"/>
        <w:szCs w:val="14"/>
      </w:rPr>
      <w:t xml:space="preserve"> </w:t>
    </w:r>
    <w:r>
      <w:rPr>
        <w:rFonts w:cs="Arial"/>
        <w:color w:val="A6A6A6"/>
        <w:sz w:val="14"/>
        <w:szCs w:val="14"/>
      </w:rPr>
      <w:t>-</w:t>
    </w:r>
    <w:r w:rsidRPr="0000167D">
      <w:rPr>
        <w:rFonts w:cs="Arial"/>
        <w:color w:val="A6A6A6"/>
        <w:sz w:val="14"/>
        <w:szCs w:val="14"/>
      </w:rPr>
      <w:t xml:space="preserve"> Zurich</w:t>
    </w:r>
  </w:p>
  <w:p w:rsidR="005B177F" w:rsidRDefault="005B177F" w:rsidP="005B177F">
    <w:pPr>
      <w:pStyle w:val="Footer"/>
    </w:pPr>
    <w:r w:rsidRPr="001D5331">
      <w:rPr>
        <w:color w:val="063E85"/>
        <w:sz w:val="16"/>
        <w:szCs w:val="16"/>
      </w:rPr>
      <w:t>International Credit Insurance &amp; Surety Association – www.icisa.org - secretariat@icisa.org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24A" w:rsidRDefault="0074224A" w:rsidP="00813056">
      <w:pPr>
        <w:spacing w:after="0" w:line="240" w:lineRule="auto"/>
      </w:pPr>
      <w:r>
        <w:separator/>
      </w:r>
    </w:p>
  </w:footnote>
  <w:footnote w:type="continuationSeparator" w:id="0">
    <w:p w:rsidR="0074224A" w:rsidRDefault="0074224A" w:rsidP="00813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056" w:rsidRPr="00813056" w:rsidRDefault="00813056">
    <w:pPr>
      <w:pStyle w:val="Header"/>
      <w:rPr>
        <w:rFonts w:ascii="Arial" w:hAnsi="Arial" w:cs="Arial"/>
        <w:b/>
        <w:sz w:val="20"/>
        <w:szCs w:val="20"/>
      </w:rPr>
    </w:pPr>
    <w:r>
      <w:rPr>
        <w:rFonts w:ascii="Arial" w:hAnsi="Arial" w:cs="Arial"/>
        <w:b/>
        <w:noProof/>
        <w:sz w:val="20"/>
        <w:szCs w:val="20"/>
        <w:lang w:eastAsia="en-IE"/>
      </w:rPr>
      <w:drawing>
        <wp:anchor distT="0" distB="0" distL="114300" distR="114300" simplePos="0" relativeHeight="251658240" behindDoc="1" locked="0" layoutInCell="1" allowOverlap="1" wp14:anchorId="7B930C73" wp14:editId="535188C5">
          <wp:simplePos x="0" y="0"/>
          <wp:positionH relativeFrom="margin">
            <wp:align>center</wp:align>
          </wp:positionH>
          <wp:positionV relativeFrom="paragraph">
            <wp:posOffset>188211</wp:posOffset>
          </wp:positionV>
          <wp:extent cx="1579245" cy="865505"/>
          <wp:effectExtent l="0" t="0" r="1905"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865505"/>
                  </a:xfrm>
                  <a:prstGeom prst="rect">
                    <a:avLst/>
                  </a:prstGeom>
                  <a:noFill/>
                </pic:spPr>
              </pic:pic>
            </a:graphicData>
          </a:graphic>
        </wp:anchor>
      </w:drawing>
    </w:r>
    <w:r w:rsidRPr="00813056">
      <w:rPr>
        <w:rFonts w:ascii="Arial" w:hAnsi="Arial" w:cs="Arial"/>
        <w:b/>
        <w:sz w:val="20"/>
        <w:szCs w:val="20"/>
      </w:rPr>
      <w:t>FILE 20200</w:t>
    </w:r>
    <w:r w:rsidR="006A4D2B">
      <w:rPr>
        <w:rFonts w:ascii="Arial" w:hAnsi="Arial" w:cs="Arial"/>
        <w:b/>
        <w:sz w:val="20"/>
        <w:szCs w:val="20"/>
      </w:rPr>
      <w:t>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3D0B"/>
    <w:multiLevelType w:val="hybridMultilevel"/>
    <w:tmpl w:val="147401B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B7DA8"/>
    <w:multiLevelType w:val="hybridMultilevel"/>
    <w:tmpl w:val="B2E69F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3F7112"/>
    <w:multiLevelType w:val="hybridMultilevel"/>
    <w:tmpl w:val="96E8E37C"/>
    <w:lvl w:ilvl="0" w:tplc="9F9CA4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14195"/>
    <w:multiLevelType w:val="hybridMultilevel"/>
    <w:tmpl w:val="BDA8497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DA7C2D"/>
    <w:multiLevelType w:val="multilevel"/>
    <w:tmpl w:val="14740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C0487D"/>
    <w:multiLevelType w:val="hybridMultilevel"/>
    <w:tmpl w:val="56BA7C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C47529"/>
    <w:multiLevelType w:val="multilevel"/>
    <w:tmpl w:val="D02A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C501F"/>
    <w:multiLevelType w:val="hybridMultilevel"/>
    <w:tmpl w:val="F58EE06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D236C6"/>
    <w:multiLevelType w:val="multilevel"/>
    <w:tmpl w:val="0488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75EDC"/>
    <w:multiLevelType w:val="hybridMultilevel"/>
    <w:tmpl w:val="D94A6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D440B2"/>
    <w:multiLevelType w:val="hybridMultilevel"/>
    <w:tmpl w:val="BDA8497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6F962D9"/>
    <w:multiLevelType w:val="hybridMultilevel"/>
    <w:tmpl w:val="D5E2E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1E10B17"/>
    <w:multiLevelType w:val="hybridMultilevel"/>
    <w:tmpl w:val="22D809C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756574B9"/>
    <w:multiLevelType w:val="hybridMultilevel"/>
    <w:tmpl w:val="73A6046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0"/>
  </w:num>
  <w:num w:numId="6">
    <w:abstractNumId w:val="3"/>
  </w:num>
  <w:num w:numId="7">
    <w:abstractNumId w:val="7"/>
  </w:num>
  <w:num w:numId="8">
    <w:abstractNumId w:val="13"/>
  </w:num>
  <w:num w:numId="9">
    <w:abstractNumId w:val="1"/>
  </w:num>
  <w:num w:numId="10">
    <w:abstractNumId w:val="6"/>
  </w:num>
  <w:num w:numId="11">
    <w:abstractNumId w:val="8"/>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2C"/>
    <w:rsid w:val="00033207"/>
    <w:rsid w:val="00070B3A"/>
    <w:rsid w:val="00074A76"/>
    <w:rsid w:val="0008231E"/>
    <w:rsid w:val="000A18FE"/>
    <w:rsid w:val="000B2A16"/>
    <w:rsid w:val="000D2BB4"/>
    <w:rsid w:val="00153925"/>
    <w:rsid w:val="00175EDB"/>
    <w:rsid w:val="00184071"/>
    <w:rsid w:val="001850CD"/>
    <w:rsid w:val="00285E23"/>
    <w:rsid w:val="00291E24"/>
    <w:rsid w:val="002F2546"/>
    <w:rsid w:val="0032704E"/>
    <w:rsid w:val="003E0DA8"/>
    <w:rsid w:val="003E5DB5"/>
    <w:rsid w:val="003F6594"/>
    <w:rsid w:val="004017E9"/>
    <w:rsid w:val="00403DC3"/>
    <w:rsid w:val="00415CA5"/>
    <w:rsid w:val="00436B57"/>
    <w:rsid w:val="00453530"/>
    <w:rsid w:val="004A716D"/>
    <w:rsid w:val="004B0BC1"/>
    <w:rsid w:val="0050149A"/>
    <w:rsid w:val="0051711B"/>
    <w:rsid w:val="00523C8B"/>
    <w:rsid w:val="005272D1"/>
    <w:rsid w:val="00534523"/>
    <w:rsid w:val="0055319E"/>
    <w:rsid w:val="00560127"/>
    <w:rsid w:val="005970B6"/>
    <w:rsid w:val="005A3EE5"/>
    <w:rsid w:val="005A711B"/>
    <w:rsid w:val="005B177F"/>
    <w:rsid w:val="005D0455"/>
    <w:rsid w:val="005E07FC"/>
    <w:rsid w:val="006A4D2B"/>
    <w:rsid w:val="006B2930"/>
    <w:rsid w:val="00717319"/>
    <w:rsid w:val="00726E7F"/>
    <w:rsid w:val="0074224A"/>
    <w:rsid w:val="00746350"/>
    <w:rsid w:val="007464CF"/>
    <w:rsid w:val="007750E4"/>
    <w:rsid w:val="00793755"/>
    <w:rsid w:val="007B5DCA"/>
    <w:rsid w:val="007C2EA4"/>
    <w:rsid w:val="00813056"/>
    <w:rsid w:val="0084047D"/>
    <w:rsid w:val="00880BD9"/>
    <w:rsid w:val="008C45FB"/>
    <w:rsid w:val="008C5D8C"/>
    <w:rsid w:val="008C7630"/>
    <w:rsid w:val="008E2ED1"/>
    <w:rsid w:val="00905B4F"/>
    <w:rsid w:val="00915070"/>
    <w:rsid w:val="00922641"/>
    <w:rsid w:val="00943612"/>
    <w:rsid w:val="00957345"/>
    <w:rsid w:val="00974C65"/>
    <w:rsid w:val="00A13DC4"/>
    <w:rsid w:val="00A201D5"/>
    <w:rsid w:val="00A26D1E"/>
    <w:rsid w:val="00A34AAB"/>
    <w:rsid w:val="00A35229"/>
    <w:rsid w:val="00B31629"/>
    <w:rsid w:val="00B5372C"/>
    <w:rsid w:val="00BE3CD3"/>
    <w:rsid w:val="00C06743"/>
    <w:rsid w:val="00C24E86"/>
    <w:rsid w:val="00C56B2C"/>
    <w:rsid w:val="00C90D40"/>
    <w:rsid w:val="00C945E3"/>
    <w:rsid w:val="00CC5038"/>
    <w:rsid w:val="00CD4B92"/>
    <w:rsid w:val="00CE5FC8"/>
    <w:rsid w:val="00D841A4"/>
    <w:rsid w:val="00D85E0F"/>
    <w:rsid w:val="00E07F83"/>
    <w:rsid w:val="00E64208"/>
    <w:rsid w:val="00E71FC8"/>
    <w:rsid w:val="00E82AA0"/>
    <w:rsid w:val="00EC4BD5"/>
    <w:rsid w:val="00EF4453"/>
    <w:rsid w:val="00F421C4"/>
    <w:rsid w:val="00F51EEA"/>
    <w:rsid w:val="00F57717"/>
    <w:rsid w:val="00F67276"/>
    <w:rsid w:val="00F87EC0"/>
    <w:rsid w:val="00F91685"/>
    <w:rsid w:val="00FA5E39"/>
    <w:rsid w:val="00FE14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83824"/>
  <w15:chartTrackingRefBased/>
  <w15:docId w15:val="{DDCFECE1-7623-4C95-B995-485F4BF4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B2C"/>
    <w:pPr>
      <w:ind w:left="720"/>
      <w:contextualSpacing/>
    </w:pPr>
  </w:style>
  <w:style w:type="paragraph" w:styleId="Header">
    <w:name w:val="header"/>
    <w:basedOn w:val="Normal"/>
    <w:link w:val="HeaderChar"/>
    <w:uiPriority w:val="99"/>
    <w:unhideWhenUsed/>
    <w:rsid w:val="008130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3056"/>
  </w:style>
  <w:style w:type="paragraph" w:styleId="Footer">
    <w:name w:val="footer"/>
    <w:basedOn w:val="Normal"/>
    <w:link w:val="FooterChar"/>
    <w:uiPriority w:val="99"/>
    <w:unhideWhenUsed/>
    <w:rsid w:val="008130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3056"/>
  </w:style>
  <w:style w:type="character" w:styleId="CommentReference">
    <w:name w:val="annotation reference"/>
    <w:basedOn w:val="DefaultParagraphFont"/>
    <w:uiPriority w:val="99"/>
    <w:semiHidden/>
    <w:unhideWhenUsed/>
    <w:rsid w:val="00453530"/>
    <w:rPr>
      <w:sz w:val="16"/>
      <w:szCs w:val="16"/>
    </w:rPr>
  </w:style>
  <w:style w:type="paragraph" w:styleId="CommentText">
    <w:name w:val="annotation text"/>
    <w:basedOn w:val="Normal"/>
    <w:link w:val="CommentTextChar"/>
    <w:uiPriority w:val="99"/>
    <w:semiHidden/>
    <w:unhideWhenUsed/>
    <w:rsid w:val="00453530"/>
    <w:pPr>
      <w:spacing w:line="240" w:lineRule="auto"/>
    </w:pPr>
    <w:rPr>
      <w:sz w:val="20"/>
      <w:szCs w:val="20"/>
    </w:rPr>
  </w:style>
  <w:style w:type="character" w:customStyle="1" w:styleId="CommentTextChar">
    <w:name w:val="Comment Text Char"/>
    <w:basedOn w:val="DefaultParagraphFont"/>
    <w:link w:val="CommentText"/>
    <w:uiPriority w:val="99"/>
    <w:semiHidden/>
    <w:rsid w:val="00453530"/>
    <w:rPr>
      <w:sz w:val="20"/>
      <w:szCs w:val="20"/>
    </w:rPr>
  </w:style>
  <w:style w:type="paragraph" w:styleId="CommentSubject">
    <w:name w:val="annotation subject"/>
    <w:basedOn w:val="CommentText"/>
    <w:next w:val="CommentText"/>
    <w:link w:val="CommentSubjectChar"/>
    <w:uiPriority w:val="99"/>
    <w:semiHidden/>
    <w:unhideWhenUsed/>
    <w:rsid w:val="00453530"/>
    <w:rPr>
      <w:b/>
      <w:bCs/>
    </w:rPr>
  </w:style>
  <w:style w:type="character" w:customStyle="1" w:styleId="CommentSubjectChar">
    <w:name w:val="Comment Subject Char"/>
    <w:basedOn w:val="CommentTextChar"/>
    <w:link w:val="CommentSubject"/>
    <w:uiPriority w:val="99"/>
    <w:semiHidden/>
    <w:rsid w:val="00453530"/>
    <w:rPr>
      <w:b/>
      <w:bCs/>
      <w:sz w:val="20"/>
      <w:szCs w:val="20"/>
    </w:rPr>
  </w:style>
  <w:style w:type="paragraph" w:styleId="BalloonText">
    <w:name w:val="Balloon Text"/>
    <w:basedOn w:val="Normal"/>
    <w:link w:val="BalloonTextChar"/>
    <w:uiPriority w:val="99"/>
    <w:semiHidden/>
    <w:unhideWhenUsed/>
    <w:rsid w:val="00453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530"/>
    <w:rPr>
      <w:rFonts w:ascii="Segoe UI" w:hAnsi="Segoe UI" w:cs="Segoe UI"/>
      <w:sz w:val="18"/>
      <w:szCs w:val="18"/>
    </w:rPr>
  </w:style>
  <w:style w:type="character" w:styleId="Hyperlink">
    <w:name w:val="Hyperlink"/>
    <w:basedOn w:val="DefaultParagraphFont"/>
    <w:uiPriority w:val="99"/>
    <w:unhideWhenUsed/>
    <w:rsid w:val="00FE1478"/>
    <w:rPr>
      <w:color w:val="0563C1" w:themeColor="hyperlink"/>
      <w:u w:val="single"/>
    </w:rPr>
  </w:style>
  <w:style w:type="character" w:styleId="FollowedHyperlink">
    <w:name w:val="FollowedHyperlink"/>
    <w:basedOn w:val="DefaultParagraphFont"/>
    <w:uiPriority w:val="99"/>
    <w:semiHidden/>
    <w:unhideWhenUsed/>
    <w:rsid w:val="00726E7F"/>
    <w:rPr>
      <w:color w:val="954F72" w:themeColor="followedHyperlink"/>
      <w:u w:val="single"/>
    </w:rPr>
  </w:style>
  <w:style w:type="character" w:styleId="Emphasis">
    <w:name w:val="Emphasis"/>
    <w:basedOn w:val="DefaultParagraphFont"/>
    <w:uiPriority w:val="20"/>
    <w:qFormat/>
    <w:rsid w:val="008404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73368">
      <w:bodyDiv w:val="1"/>
      <w:marLeft w:val="0"/>
      <w:marRight w:val="0"/>
      <w:marTop w:val="0"/>
      <w:marBottom w:val="0"/>
      <w:divBdr>
        <w:top w:val="none" w:sz="0" w:space="0" w:color="auto"/>
        <w:left w:val="none" w:sz="0" w:space="0" w:color="auto"/>
        <w:bottom w:val="none" w:sz="0" w:space="0" w:color="auto"/>
        <w:right w:val="none" w:sz="0" w:space="0" w:color="auto"/>
      </w:divBdr>
    </w:div>
    <w:div w:id="1025062629">
      <w:bodyDiv w:val="1"/>
      <w:marLeft w:val="0"/>
      <w:marRight w:val="0"/>
      <w:marTop w:val="0"/>
      <w:marBottom w:val="0"/>
      <w:divBdr>
        <w:top w:val="none" w:sz="0" w:space="0" w:color="auto"/>
        <w:left w:val="none" w:sz="0" w:space="0" w:color="auto"/>
        <w:bottom w:val="none" w:sz="0" w:space="0" w:color="auto"/>
        <w:right w:val="none" w:sz="0" w:space="0" w:color="auto"/>
      </w:divBdr>
    </w:div>
    <w:div w:id="1218274317">
      <w:bodyDiv w:val="1"/>
      <w:marLeft w:val="0"/>
      <w:marRight w:val="0"/>
      <w:marTop w:val="0"/>
      <w:marBottom w:val="0"/>
      <w:divBdr>
        <w:top w:val="none" w:sz="0" w:space="0" w:color="auto"/>
        <w:left w:val="none" w:sz="0" w:space="0" w:color="auto"/>
        <w:bottom w:val="none" w:sz="0" w:space="0" w:color="auto"/>
        <w:right w:val="none" w:sz="0" w:space="0" w:color="auto"/>
      </w:divBdr>
    </w:div>
    <w:div w:id="1557744400">
      <w:bodyDiv w:val="1"/>
      <w:marLeft w:val="0"/>
      <w:marRight w:val="0"/>
      <w:marTop w:val="0"/>
      <w:marBottom w:val="0"/>
      <w:divBdr>
        <w:top w:val="none" w:sz="0" w:space="0" w:color="auto"/>
        <w:left w:val="none" w:sz="0" w:space="0" w:color="auto"/>
        <w:bottom w:val="none" w:sz="0" w:space="0" w:color="auto"/>
        <w:right w:val="none" w:sz="0" w:space="0" w:color="auto"/>
      </w:divBdr>
    </w:div>
    <w:div w:id="16337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kingsupervision.europa.eu/press/pr/date/2020/html/ssm.pr200320~4cdbbcf466.en.html" TargetMode="External"/><Relationship Id="rId18" Type="http://schemas.openxmlformats.org/officeDocument/2006/relationships/hyperlink" Target="https://www.eiopa.europa.eu/content/eiopa-statement-dividends-distribution-and-variable-remuneration-policies-context-covid-19_en" TargetMode="External"/><Relationship Id="rId26" Type="http://schemas.openxmlformats.org/officeDocument/2006/relationships/hyperlink" Target="https://ec.europa.eu/commission/presscorner/detail/en/IP_20_653" TargetMode="External"/><Relationship Id="rId39" Type="http://schemas.openxmlformats.org/officeDocument/2006/relationships/hyperlink" Target="https://itfa.org/covid-19-support-measures-itfa-calls-for-eu-wide-harmonisation-and-equality-for-all-insurance-products/" TargetMode="External"/><Relationship Id="rId3" Type="http://schemas.openxmlformats.org/officeDocument/2006/relationships/settings" Target="settings.xml"/><Relationship Id="rId21" Type="http://schemas.openxmlformats.org/officeDocument/2006/relationships/hyperlink" Target="https://www.esma.europa.eu/about-esma/covid-19" TargetMode="External"/><Relationship Id="rId34" Type="http://schemas.openxmlformats.org/officeDocument/2006/relationships/hyperlink" Target="https://www.ohiocontractors.org/pdf/PN095COVID94_1Final.pdf" TargetMode="External"/><Relationship Id="rId42" Type="http://schemas.openxmlformats.org/officeDocument/2006/relationships/hyperlink" Target="https://www.usa.gov/coronavirus"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consilium.europa.eu/en/press/press-releases/2020/04/09/report-on-the-comprehensive-economic-policy-response-to-the-covid-19-pandemic/" TargetMode="External"/><Relationship Id="rId12" Type="http://schemas.openxmlformats.org/officeDocument/2006/relationships/hyperlink" Target="https://www.ecb.europa.eu/press/pr/date/2020/html/ecb.pr200318_1~3949d6f266.en.html" TargetMode="External"/><Relationship Id="rId17" Type="http://schemas.openxmlformats.org/officeDocument/2006/relationships/hyperlink" Target="https://www.eiopa.europa.eu/content/eiopa-urges-insurers-and-intermediaries-continue-take-actions-mitigate-impact_en" TargetMode="External"/><Relationship Id="rId25" Type="http://schemas.openxmlformats.org/officeDocument/2006/relationships/hyperlink" Target="https://www.bundesfinanzministerium.de/Content/DE/Standardartikel/Themen/Schlaglichter/Corona-Schutzschild/2020-03-13-Milliarden-Schutzschild-fuer-Deutschland.html" TargetMode="External"/><Relationship Id="rId33" Type="http://schemas.openxmlformats.org/officeDocument/2006/relationships/hyperlink" Target="https://www.acquisition.gov/coronavirus" TargetMode="External"/><Relationship Id="rId38" Type="http://schemas.openxmlformats.org/officeDocument/2006/relationships/hyperlink" Target="https://g20.org/en/media/Documents/G20_Extraordinary%20G20%20Leaders%E2%80%99%20Summit_Statement_EN%20(3).pdf" TargetMode="External"/><Relationship Id="rId46" Type="http://schemas.openxmlformats.org/officeDocument/2006/relationships/hyperlink" Target="https://www.wto.org/english/tratop_e/covid19_e/covid19_e.htm" TargetMode="External"/><Relationship Id="rId2" Type="http://schemas.openxmlformats.org/officeDocument/2006/relationships/styles" Target="styles.xml"/><Relationship Id="rId16" Type="http://schemas.openxmlformats.org/officeDocument/2006/relationships/hyperlink" Target="https://www.eiopa.europa.eu/content/eiopa-publishes-extraordinary-information-solvency-ii-relevant-risk-free-interest-rate-term_en" TargetMode="External"/><Relationship Id="rId20" Type="http://schemas.openxmlformats.org/officeDocument/2006/relationships/hyperlink" Target="https://eba.europa.eu/eba-statement-actions-mitigate-impact-covid-19-eu-banking-sector" TargetMode="External"/><Relationship Id="rId29" Type="http://schemas.openxmlformats.org/officeDocument/2006/relationships/hyperlink" Target="https://www.rijksoverheid.nl/regering/bewindspersonen/hans-vijlbrief/nieuws/2020/04/07/kabinet-helpt-leveranciers-en-ondernemers-met-hun-leverancierskrediet" TargetMode="External"/><Relationship Id="rId41" Type="http://schemas.openxmlformats.org/officeDocument/2006/relationships/hyperlink" Target="https://ec.europa.eu/info/live-work-travel-eu/health/coronavirus-response/economy_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uriserv:OJ.C_.2012.392.01.0001.01.ENG&amp;toc=OJ:C:2012:392:TOC" TargetMode="External"/><Relationship Id="rId24" Type="http://schemas.openxmlformats.org/officeDocument/2006/relationships/hyperlink" Target="https://minefi.hosting.augure.com/Augure_Minefi/default.ashx?WCI=ContenuEnLigne&amp;ID=82FC631C-E365-4687-9CF3-8F60EFD16F6B" TargetMode="External"/><Relationship Id="rId32" Type="http://schemas.openxmlformats.org/officeDocument/2006/relationships/hyperlink" Target="https://cdn.ymaws.com/www.surety.org/resource/resmgr/covid/CD-2020-05.pdf" TargetMode="External"/><Relationship Id="rId37" Type="http://schemas.openxmlformats.org/officeDocument/2006/relationships/hyperlink" Target="https://www.iaisweb.org/news/iais-executive-committee-takes-steps-to-address-impact-of-covid-19-on-the-insurance-sector" TargetMode="External"/><Relationship Id="rId40" Type="http://schemas.openxmlformats.org/officeDocument/2006/relationships/hyperlink" Target="https://iccwbo.org/publication/icc-force-majeure-and-hardship-clauses/" TargetMode="External"/><Relationship Id="rId45" Type="http://schemas.openxmlformats.org/officeDocument/2006/relationships/hyperlink" Target="https://www.imf.org/en/Topics/imf-and-covid19" TargetMode="External"/><Relationship Id="rId5" Type="http://schemas.openxmlformats.org/officeDocument/2006/relationships/footnotes" Target="footnotes.xml"/><Relationship Id="rId15" Type="http://schemas.openxmlformats.org/officeDocument/2006/relationships/hyperlink" Target="https://www.eiopa.europa.eu/content/eiopa-statement-actions-mitigate-impact-coronaviruscovid-19-eu-insurance-sector_en" TargetMode="External"/><Relationship Id="rId23" Type="http://schemas.openxmlformats.org/officeDocument/2006/relationships/hyperlink" Target="https://ec.europa.eu/commission/presscorner/detail/en/ip_20_542" TargetMode="External"/><Relationship Id="rId28" Type="http://schemas.openxmlformats.org/officeDocument/2006/relationships/hyperlink" Target="https://www.gov.uk/government/news/ukef-expands-protection-against-non-payment-for-uk-exporters" TargetMode="External"/><Relationship Id="rId36" Type="http://schemas.openxmlformats.org/officeDocument/2006/relationships/hyperlink" Target="https://www.mas.gov.sg/news/media-releases/2020/mas-and-financial-industry-to-support-individuals-and-smes-affected-by-the-covid-19-pandemic" TargetMode="External"/><Relationship Id="rId49" Type="http://schemas.openxmlformats.org/officeDocument/2006/relationships/fontTable" Target="fontTable.xml"/><Relationship Id="rId10" Type="http://schemas.openxmlformats.org/officeDocument/2006/relationships/hyperlink" Target="https://ec.europa.eu/commission/presscorner/detail/en/ip_20_542" TargetMode="External"/><Relationship Id="rId19" Type="http://schemas.openxmlformats.org/officeDocument/2006/relationships/hyperlink" Target="https://eba.europa.eu/eba-provides-clarity-banks-consumers-application-prudential-framework-light-covid-19-measures" TargetMode="External"/><Relationship Id="rId31" Type="http://schemas.openxmlformats.org/officeDocument/2006/relationships/hyperlink" Target="https://www.congress.gov/bill/116th-congress/senate-bill/3548" TargetMode="External"/><Relationship Id="rId44" Type="http://schemas.openxmlformats.org/officeDocument/2006/relationships/hyperlink" Target="https://www.worldbank.org/en/who-we-are/news/coronavirus-covid19" TargetMode="External"/><Relationship Id="rId4" Type="http://schemas.openxmlformats.org/officeDocument/2006/relationships/webSettings" Target="webSettings.xml"/><Relationship Id="rId9" Type="http://schemas.openxmlformats.org/officeDocument/2006/relationships/hyperlink" Target="https://ec.europa.eu/competition/consultations/2020_short-term-export-credit-insurance/index_en.html" TargetMode="External"/><Relationship Id="rId14" Type="http://schemas.openxmlformats.org/officeDocument/2006/relationships/hyperlink" Target="https://www.eiopa.europa.eu/content/eiopa-issues-recommendations-supervisory-flexibility-regarding-deadlines-supervisory" TargetMode="External"/><Relationship Id="rId22" Type="http://schemas.openxmlformats.org/officeDocument/2006/relationships/hyperlink" Target="https://www.esma.europa.eu/sites/default/files/library/esma32-63-951_statement_on_ifrs_9_implications_of_covid-19_related_support_measures.pdf" TargetMode="External"/><Relationship Id="rId27" Type="http://schemas.openxmlformats.org/officeDocument/2006/relationships/hyperlink" Target="https://ec.europa.eu/commission/presscorner/detail/en/ip_20_527" TargetMode="External"/><Relationship Id="rId30" Type="http://schemas.openxmlformats.org/officeDocument/2006/relationships/hyperlink" Target="https://ec.europa.eu/competition/index_en.html" TargetMode="External"/><Relationship Id="rId35" Type="http://schemas.openxmlformats.org/officeDocument/2006/relationships/hyperlink" Target="https://www.apa-mi.org/docs/MDOT_COVID-19_Construction_Guidance_April_6_2020_Rev_1.pdfhttps:/thinkmita.org/wp-content/uploads/MDOT-COVID-19-Construction-Guidance-April-1-2020-FINAL.pdf" TargetMode="External"/><Relationship Id="rId43" Type="http://schemas.openxmlformats.org/officeDocument/2006/relationships/hyperlink" Target="https://www.federalreserve.gov/covid-19.htm" TargetMode="External"/><Relationship Id="rId48" Type="http://schemas.openxmlformats.org/officeDocument/2006/relationships/footer" Target="footer1.xml"/><Relationship Id="rId8" Type="http://schemas.openxmlformats.org/officeDocument/2006/relationships/hyperlink" Target="https://ec.europa.eu/commission/presscorner/detail/en/IP_20_4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2837</Words>
  <Characters>16174</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Covid19 Policy Overview</vt:lpstr>
      <vt:lpstr/>
    </vt:vector>
  </TitlesOfParts>
  <Company>COFACE</Company>
  <LinksUpToDate>false</LinksUpToDate>
  <CharactersWithSpaces>18974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Policy Overview</dc:title>
  <dc:subject/>
  <dc:creator>ICISA | Daniel de Búrca</dc:creator>
  <cp:keywords/>
  <dc:description/>
  <cp:lastModifiedBy>ICISA | Daniel de Búrca</cp:lastModifiedBy>
  <cp:revision>4</cp:revision>
  <cp:lastPrinted>2020-03-24T20:04:00Z</cp:lastPrinted>
  <dcterms:created xsi:type="dcterms:W3CDTF">2020-04-21T11:27:00Z</dcterms:created>
  <dcterms:modified xsi:type="dcterms:W3CDTF">2020-04-21T12:22:00Z</dcterms:modified>
</cp:coreProperties>
</file>